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53"/>
        <w:gridCol w:w="1867"/>
        <w:gridCol w:w="4370"/>
      </w:tblGrid>
      <w:tr w:rsidR="00E00451" w:rsidRPr="000079EE" w:rsidTr="00F450F0">
        <w:trPr>
          <w:trHeight w:val="164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51" w:rsidRDefault="00E00451" w:rsidP="00F450F0">
            <w:pPr>
              <w:spacing w:line="276" w:lineRule="auto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E00451" w:rsidRDefault="00E00451" w:rsidP="00F450F0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БАЛТАС  РАЙОНЫ</w:t>
            </w:r>
          </w:p>
          <w:p w:rsidR="00E00451" w:rsidRDefault="00E00451" w:rsidP="00F450F0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 РАЙОНЫНЫҢ</w:t>
            </w:r>
          </w:p>
          <w:p w:rsidR="00E00451" w:rsidRDefault="00E00451" w:rsidP="00F450F0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E00451" w:rsidRDefault="00E00451" w:rsidP="00F450F0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E00451" w:rsidRDefault="00E00451" w:rsidP="00F450F0">
            <w:pPr>
              <w:pStyle w:val="a6"/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E00451" w:rsidRPr="00D16E11" w:rsidRDefault="00E00451" w:rsidP="00F450F0">
            <w:pPr>
              <w:pStyle w:val="a6"/>
              <w:rPr>
                <w:rFonts w:ascii="Bookman Old Style" w:hAnsi="Bookman Old Style"/>
                <w:sz w:val="20"/>
              </w:rPr>
            </w:pPr>
            <w:r>
              <w:rPr>
                <w:sz w:val="18"/>
                <w:szCs w:val="18"/>
              </w:rPr>
              <w:t>Үҙәк урамы, 27 й., Һәйтәк ауылы, Балтас районы, Башкортостан Республикаһы, 452984</w:t>
            </w:r>
          </w:p>
        </w:tc>
        <w:tc>
          <w:tcPr>
            <w:tcW w:w="18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51" w:rsidRDefault="00E00451" w:rsidP="00F450F0">
            <w:pPr>
              <w:jc w:val="center"/>
              <w:rPr>
                <w:rFonts w:ascii="Bookman Old Style" w:hAnsi="Bookman Old Style"/>
                <w:lang w:val="be-BY"/>
              </w:rPr>
            </w:pPr>
          </w:p>
          <w:p w:rsidR="00E00451" w:rsidRPr="00D16E11" w:rsidRDefault="00E00451" w:rsidP="00F450F0">
            <w:pPr>
              <w:rPr>
                <w:rFonts w:ascii="Bookman Old Style" w:hAnsi="Bookman Old Style"/>
                <w:lang w:val="be-BY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>
                  <wp:extent cx="1026160" cy="1026160"/>
                  <wp:effectExtent l="19050" t="0" r="2540" b="0"/>
                  <wp:docPr id="4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0451" w:rsidRDefault="00E00451" w:rsidP="00F450F0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E00451" w:rsidRDefault="00E00451" w:rsidP="00F450F0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E00451" w:rsidRDefault="00E00451" w:rsidP="00F450F0">
            <w:pPr>
              <w:pStyle w:val="1"/>
              <w:spacing w:line="27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E00451" w:rsidRDefault="00E00451" w:rsidP="00F450F0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E00451" w:rsidRDefault="00E00451" w:rsidP="00F450F0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E00451" w:rsidRDefault="00E00451" w:rsidP="00F450F0">
            <w:pPr>
              <w:pStyle w:val="a6"/>
              <w:tabs>
                <w:tab w:val="left" w:pos="4166"/>
              </w:tabs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E00451" w:rsidRDefault="00E00451" w:rsidP="00F450F0">
            <w:pPr>
              <w:spacing w:line="276" w:lineRule="auto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E00451" w:rsidRPr="000079EE" w:rsidRDefault="00E00451" w:rsidP="00F450F0">
            <w:pPr>
              <w:pStyle w:val="a6"/>
              <w:tabs>
                <w:tab w:val="left" w:pos="4166"/>
              </w:tabs>
              <w:ind w:left="-57"/>
              <w:rPr>
                <w:rFonts w:ascii="Bookman Old Style" w:hAnsi="Bookman Old Style"/>
                <w:sz w:val="20"/>
              </w:rPr>
            </w:pPr>
          </w:p>
        </w:tc>
      </w:tr>
    </w:tbl>
    <w:p w:rsidR="00E00451" w:rsidRPr="000079EE" w:rsidRDefault="00E00451" w:rsidP="00E00451">
      <w:pPr>
        <w:pStyle w:val="a4"/>
        <w:spacing w:line="360" w:lineRule="auto"/>
        <w:rPr>
          <w:rFonts w:ascii="Bookman Old Style" w:hAnsi="Bookman Old Style"/>
          <w:sz w:val="10"/>
        </w:rPr>
      </w:pP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  <w:r w:rsidRPr="000079EE">
        <w:rPr>
          <w:rFonts w:ascii="Bookman Old Style" w:hAnsi="Bookman Old Style"/>
        </w:rPr>
        <w:softHyphen/>
      </w:r>
    </w:p>
    <w:p w:rsidR="00E00451" w:rsidRPr="005526FC" w:rsidRDefault="00E00451" w:rsidP="00E00451">
      <w:pPr>
        <w:pStyle w:val="a4"/>
        <w:rPr>
          <w:b/>
          <w:szCs w:val="28"/>
        </w:rPr>
      </w:pPr>
      <w:r w:rsidRPr="000079EE">
        <w:rPr>
          <w:rFonts w:ascii="Bookman Old Style" w:hAnsi="Bookman Old Style"/>
          <w:b/>
          <w:lang w:val="be-BY"/>
        </w:rPr>
        <w:t xml:space="preserve">     </w:t>
      </w:r>
      <w:r>
        <w:rPr>
          <w:rFonts w:ascii="Bookman Old Style" w:hAnsi="Bookman Old Style"/>
          <w:b/>
          <w:lang w:val="be-BY"/>
        </w:rPr>
        <w:t xml:space="preserve">    </w:t>
      </w:r>
      <w:r>
        <w:rPr>
          <w:rFonts w:ascii="Times Cyr Bash Normal" w:hAnsi="Times Cyr Bash Normal"/>
          <w:b/>
          <w:lang w:val="be-BY"/>
        </w:rPr>
        <w:t>К</w:t>
      </w:r>
      <w:r w:rsidRPr="005526FC">
        <w:rPr>
          <w:b/>
          <w:szCs w:val="28"/>
          <w:lang w:val="be-BY"/>
        </w:rPr>
        <w:t xml:space="preserve">АРАР                         </w:t>
      </w:r>
      <w:r w:rsidRPr="005526FC">
        <w:rPr>
          <w:b/>
          <w:szCs w:val="28"/>
          <w:lang w:val="be-BY"/>
        </w:rPr>
        <w:tab/>
        <w:t xml:space="preserve">                       </w:t>
      </w:r>
      <w:r>
        <w:rPr>
          <w:b/>
          <w:szCs w:val="28"/>
          <w:lang w:val="be-BY"/>
        </w:rPr>
        <w:t xml:space="preserve">                    </w:t>
      </w:r>
      <w:r w:rsidRPr="005526FC">
        <w:rPr>
          <w:b/>
          <w:szCs w:val="28"/>
          <w:lang w:val="be-BY"/>
        </w:rPr>
        <w:t xml:space="preserve"> </w:t>
      </w:r>
      <w:r w:rsidRPr="005526FC">
        <w:rPr>
          <w:b/>
          <w:szCs w:val="28"/>
        </w:rPr>
        <w:t>ПОСТАНОВЛЕНИЕ</w:t>
      </w:r>
    </w:p>
    <w:p w:rsidR="00E00451" w:rsidRDefault="00E00451" w:rsidP="00E00451">
      <w:pPr>
        <w:pStyle w:val="a4"/>
        <w:rPr>
          <w:b/>
          <w:caps/>
          <w:szCs w:val="28"/>
          <w:lang w:val="be-BY"/>
        </w:rPr>
      </w:pPr>
    </w:p>
    <w:p w:rsidR="00E00451" w:rsidRDefault="00E00451" w:rsidP="00E00451">
      <w:pPr>
        <w:pStyle w:val="a4"/>
        <w:rPr>
          <w:b/>
          <w:szCs w:val="28"/>
        </w:rPr>
      </w:pPr>
      <w:r w:rsidRPr="00EB6A05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01февраль</w:t>
      </w:r>
      <w:r w:rsidRPr="00EB6A05">
        <w:rPr>
          <w:b/>
          <w:szCs w:val="28"/>
          <w:lang w:val="be-BY"/>
        </w:rPr>
        <w:t xml:space="preserve">  </w:t>
      </w:r>
      <w:r>
        <w:rPr>
          <w:b/>
          <w:szCs w:val="28"/>
          <w:lang w:val="be-BY"/>
        </w:rPr>
        <w:t>2021</w:t>
      </w:r>
      <w:r w:rsidRPr="00EB6A05">
        <w:rPr>
          <w:b/>
          <w:szCs w:val="28"/>
          <w:lang w:val="be-BY"/>
        </w:rPr>
        <w:t xml:space="preserve">й.                             </w:t>
      </w:r>
      <w:r w:rsidR="006602C3">
        <w:rPr>
          <w:b/>
          <w:szCs w:val="28"/>
          <w:lang w:val="be-BY"/>
        </w:rPr>
        <w:t xml:space="preserve">     № 6</w:t>
      </w:r>
      <w:r w:rsidRPr="00EB6A05">
        <w:rPr>
          <w:b/>
          <w:szCs w:val="28"/>
          <w:lang w:val="be-BY"/>
        </w:rPr>
        <w:t xml:space="preserve">          </w:t>
      </w:r>
      <w:r>
        <w:rPr>
          <w:b/>
          <w:szCs w:val="28"/>
          <w:lang w:val="be-BY"/>
        </w:rPr>
        <w:t xml:space="preserve">            01 </w:t>
      </w:r>
      <w:r w:rsidRPr="00EB6A05">
        <w:rPr>
          <w:b/>
          <w:szCs w:val="28"/>
          <w:lang w:val="be-BY"/>
        </w:rPr>
        <w:t xml:space="preserve"> </w:t>
      </w:r>
      <w:r>
        <w:rPr>
          <w:b/>
          <w:szCs w:val="28"/>
          <w:lang w:val="be-BY"/>
        </w:rPr>
        <w:t>февраля  2021</w:t>
      </w:r>
      <w:r w:rsidRPr="00EB6A05">
        <w:rPr>
          <w:b/>
          <w:szCs w:val="28"/>
          <w:lang w:val="be-BY"/>
        </w:rPr>
        <w:t>г.</w:t>
      </w:r>
      <w:r w:rsidRPr="00EB6A05">
        <w:rPr>
          <w:b/>
          <w:szCs w:val="28"/>
        </w:rPr>
        <w:t xml:space="preserve"> </w:t>
      </w:r>
    </w:p>
    <w:p w:rsidR="00E00451" w:rsidRPr="00E00D57" w:rsidRDefault="00E00451" w:rsidP="00E00451">
      <w:pPr>
        <w:widowControl w:val="0"/>
        <w:jc w:val="both"/>
        <w:rPr>
          <w:b/>
          <w:szCs w:val="28"/>
        </w:rPr>
      </w:pPr>
    </w:p>
    <w:p w:rsidR="00E00451" w:rsidRPr="00DC4638" w:rsidRDefault="00E00451" w:rsidP="00E00451">
      <w:pPr>
        <w:ind w:firstLine="360"/>
        <w:jc w:val="center"/>
        <w:rPr>
          <w:b/>
          <w:szCs w:val="28"/>
        </w:rPr>
      </w:pPr>
      <w:r w:rsidRPr="00DC4638">
        <w:rPr>
          <w:b/>
          <w:szCs w:val="28"/>
        </w:rPr>
        <w:t xml:space="preserve">Об утверждении </w:t>
      </w:r>
      <w:proofErr w:type="spellStart"/>
      <w:r w:rsidRPr="00DC4638">
        <w:rPr>
          <w:b/>
          <w:szCs w:val="28"/>
        </w:rPr>
        <w:t>п</w:t>
      </w:r>
      <w:proofErr w:type="spellEnd"/>
      <w:r w:rsidRPr="00DC4638">
        <w:rPr>
          <w:b/>
          <w:szCs w:val="28"/>
          <w:lang w:val="be-BY"/>
        </w:rPr>
        <w:t>оряд</w:t>
      </w:r>
      <w:proofErr w:type="spellStart"/>
      <w:r w:rsidRPr="00DC4638">
        <w:rPr>
          <w:b/>
          <w:szCs w:val="28"/>
        </w:rPr>
        <w:t>ка</w:t>
      </w:r>
      <w:proofErr w:type="spellEnd"/>
      <w:r w:rsidRPr="00DC4638">
        <w:rPr>
          <w:b/>
          <w:szCs w:val="28"/>
          <w:lang w:val="be-BY"/>
        </w:rPr>
        <w:t xml:space="preserve"> составления и ведения кассового плана исполнения бюджета сельского поселения </w:t>
      </w:r>
      <w:r>
        <w:rPr>
          <w:b/>
          <w:szCs w:val="28"/>
          <w:lang w:val="be-BY"/>
        </w:rPr>
        <w:t>Сейтяковский</w:t>
      </w:r>
      <w:r w:rsidRPr="00DC4638">
        <w:rPr>
          <w:b/>
          <w:szCs w:val="28"/>
          <w:lang w:val="be-BY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C4638">
          <w:rPr>
            <w:b/>
            <w:szCs w:val="28"/>
            <w:lang w:val="be-BY"/>
          </w:rPr>
          <w:t>района Балтачевский</w:t>
        </w:r>
      </w:smartTag>
      <w:r w:rsidRPr="00DC4638">
        <w:rPr>
          <w:b/>
          <w:szCs w:val="28"/>
          <w:lang w:val="be-BY"/>
        </w:rPr>
        <w:t xml:space="preserve"> район Республики Башкортостан в текущем финансовом году</w:t>
      </w:r>
    </w:p>
    <w:p w:rsidR="00E00451" w:rsidRPr="00DC4638" w:rsidRDefault="00E00451" w:rsidP="00E00451">
      <w:pPr>
        <w:ind w:firstLine="360"/>
        <w:jc w:val="center"/>
        <w:rPr>
          <w:b/>
          <w:szCs w:val="28"/>
        </w:rPr>
      </w:pPr>
    </w:p>
    <w:p w:rsidR="00E00451" w:rsidRPr="00D043A0" w:rsidRDefault="00E00451" w:rsidP="00E00451">
      <w:pPr>
        <w:ind w:firstLine="360"/>
        <w:jc w:val="both"/>
        <w:rPr>
          <w:sz w:val="26"/>
          <w:szCs w:val="26"/>
        </w:rPr>
      </w:pPr>
      <w:r w:rsidRPr="00D043A0">
        <w:rPr>
          <w:sz w:val="26"/>
          <w:szCs w:val="26"/>
          <w:lang w:val="be-BY"/>
        </w:rPr>
        <w:t xml:space="preserve">В соответствии со </w:t>
      </w:r>
      <w:r w:rsidR="00EF0A8F" w:rsidRPr="00D043A0">
        <w:rPr>
          <w:sz w:val="26"/>
          <w:szCs w:val="26"/>
          <w:lang w:val="be-BY"/>
        </w:rPr>
        <w:fldChar w:fldCharType="begin"/>
      </w:r>
      <w:r w:rsidRPr="00D043A0">
        <w:rPr>
          <w:sz w:val="26"/>
          <w:szCs w:val="26"/>
          <w:lang w:val="be-BY"/>
        </w:rPr>
        <w:instrText xml:space="preserve"> HYPERLINK "consultantplus://offline/ref=326F1ADC073777ECF7792D9956443D4933D5E883EDEF1F734A7F97AA15AC5E6E03C86EECCB58F1l1I" </w:instrText>
      </w:r>
      <w:r w:rsidR="00EF0A8F" w:rsidRPr="00D043A0">
        <w:rPr>
          <w:sz w:val="26"/>
          <w:szCs w:val="26"/>
          <w:lang w:val="be-BY"/>
        </w:rPr>
        <w:fldChar w:fldCharType="separate"/>
      </w:r>
      <w:r w:rsidRPr="00D043A0">
        <w:rPr>
          <w:color w:val="0000FF"/>
          <w:sz w:val="26"/>
          <w:u w:val="single"/>
          <w:lang w:val="be-BY"/>
        </w:rPr>
        <w:t>статьей 217.1</w:t>
      </w:r>
      <w:r w:rsidR="00EF0A8F" w:rsidRPr="00D043A0">
        <w:rPr>
          <w:sz w:val="26"/>
          <w:szCs w:val="26"/>
          <w:lang w:val="be-BY"/>
        </w:rPr>
        <w:fldChar w:fldCharType="end"/>
      </w:r>
      <w:r w:rsidRPr="00D043A0">
        <w:rPr>
          <w:sz w:val="26"/>
          <w:szCs w:val="26"/>
          <w:lang w:val="be-BY"/>
        </w:rPr>
        <w:t xml:space="preserve"> Бюджетного кодекса Российской Федерации</w:t>
      </w:r>
      <w:r w:rsidRPr="00D043A0">
        <w:rPr>
          <w:sz w:val="26"/>
          <w:szCs w:val="26"/>
        </w:rPr>
        <w:t>, с Приказом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 порядка составления и ведения кассового плана исполнения бюджета Республики Башкортостан в текущем финансовом году» в целях совершенствования организации исполнения бюджета сельского поселения</w:t>
      </w:r>
      <w:r w:rsidRPr="00D043A0">
        <w:rPr>
          <w:sz w:val="26"/>
          <w:szCs w:val="26"/>
          <w:lang w:val="be-BY"/>
        </w:rPr>
        <w:t xml:space="preserve"> </w:t>
      </w:r>
      <w:r>
        <w:rPr>
          <w:sz w:val="26"/>
          <w:szCs w:val="26"/>
          <w:lang w:val="be-BY"/>
        </w:rPr>
        <w:t>Сейтяковский</w:t>
      </w:r>
      <w:r w:rsidRPr="00D043A0">
        <w:rPr>
          <w:sz w:val="26"/>
          <w:szCs w:val="26"/>
          <w:lang w:val="be-BY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043A0">
          <w:rPr>
            <w:sz w:val="26"/>
            <w:szCs w:val="26"/>
            <w:lang w:val="be-BY"/>
          </w:rPr>
          <w:t>района Балтачевский</w:t>
        </w:r>
      </w:smartTag>
      <w:r w:rsidRPr="00D043A0">
        <w:rPr>
          <w:sz w:val="26"/>
          <w:szCs w:val="26"/>
          <w:lang w:val="be-BY"/>
        </w:rPr>
        <w:t xml:space="preserve"> район Республики Башкортостан</w:t>
      </w:r>
      <w:r w:rsidRPr="00D043A0">
        <w:rPr>
          <w:sz w:val="26"/>
          <w:szCs w:val="26"/>
        </w:rPr>
        <w:t xml:space="preserve">, Администрация сельского поселения </w:t>
      </w:r>
      <w:proofErr w:type="spellStart"/>
      <w:r>
        <w:rPr>
          <w:sz w:val="26"/>
          <w:szCs w:val="26"/>
        </w:rPr>
        <w:t>Сейтяковский</w:t>
      </w:r>
      <w:proofErr w:type="spellEnd"/>
      <w:r w:rsidRPr="00D043A0">
        <w:rPr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043A0">
          <w:rPr>
            <w:sz w:val="26"/>
            <w:szCs w:val="26"/>
          </w:rPr>
          <w:t xml:space="preserve">района </w:t>
        </w:r>
        <w:proofErr w:type="spellStart"/>
        <w:r w:rsidRPr="00D043A0">
          <w:rPr>
            <w:sz w:val="26"/>
            <w:szCs w:val="26"/>
          </w:rPr>
          <w:t>Балтачевский</w:t>
        </w:r>
      </w:smartTag>
      <w:proofErr w:type="spellEnd"/>
      <w:r w:rsidRPr="00D043A0">
        <w:rPr>
          <w:sz w:val="26"/>
          <w:szCs w:val="26"/>
        </w:rPr>
        <w:t xml:space="preserve"> район Республики Башкортостан</w:t>
      </w:r>
      <w:r w:rsidRPr="00D043A0">
        <w:rPr>
          <w:sz w:val="26"/>
          <w:szCs w:val="26"/>
          <w:lang w:val="be-BY"/>
        </w:rPr>
        <w:t xml:space="preserve"> </w:t>
      </w:r>
      <w:r w:rsidRPr="00D043A0">
        <w:rPr>
          <w:spacing w:val="20"/>
          <w:sz w:val="26"/>
          <w:szCs w:val="26"/>
        </w:rPr>
        <w:t>ПОСТАНОВЛЯЕТ</w:t>
      </w:r>
      <w:r w:rsidRPr="00D043A0">
        <w:rPr>
          <w:sz w:val="26"/>
          <w:szCs w:val="26"/>
          <w:lang w:val="be-BY"/>
        </w:rPr>
        <w:t xml:space="preserve"> :</w:t>
      </w:r>
    </w:p>
    <w:p w:rsidR="00E00451" w:rsidRPr="00D043A0" w:rsidRDefault="00E00451" w:rsidP="00E00451">
      <w:pPr>
        <w:ind w:firstLine="360"/>
        <w:jc w:val="both"/>
        <w:rPr>
          <w:sz w:val="26"/>
          <w:szCs w:val="26"/>
        </w:rPr>
      </w:pPr>
    </w:p>
    <w:p w:rsidR="00E00451" w:rsidRDefault="00E00451" w:rsidP="00E0045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043A0">
        <w:rPr>
          <w:sz w:val="26"/>
          <w:szCs w:val="26"/>
        </w:rPr>
        <w:t xml:space="preserve">1. Утвердить прилагаемый Порядок составления и ведения кассового плана исполнения бюджета сельского поселения </w:t>
      </w:r>
      <w:proofErr w:type="spellStart"/>
      <w:r>
        <w:rPr>
          <w:sz w:val="26"/>
          <w:szCs w:val="26"/>
        </w:rPr>
        <w:t>Сейтяковский</w:t>
      </w:r>
      <w:proofErr w:type="spellEnd"/>
      <w:r w:rsidRPr="00D043A0">
        <w:rPr>
          <w:sz w:val="26"/>
          <w:szCs w:val="26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D043A0">
          <w:rPr>
            <w:sz w:val="26"/>
            <w:szCs w:val="26"/>
          </w:rPr>
          <w:t xml:space="preserve">района </w:t>
        </w:r>
        <w:proofErr w:type="spellStart"/>
        <w:r w:rsidRPr="00D043A0">
          <w:rPr>
            <w:sz w:val="26"/>
            <w:szCs w:val="26"/>
          </w:rPr>
          <w:t>Балтачевский</w:t>
        </w:r>
      </w:smartTag>
      <w:proofErr w:type="spellEnd"/>
      <w:r w:rsidRPr="00D043A0">
        <w:rPr>
          <w:sz w:val="26"/>
          <w:szCs w:val="26"/>
        </w:rPr>
        <w:t xml:space="preserve"> район Республики Башкортостан в текущем финансовом году (приложение). </w:t>
      </w:r>
    </w:p>
    <w:p w:rsidR="00E00451" w:rsidRPr="00D043A0" w:rsidRDefault="00E00451" w:rsidP="00E0045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043A0">
        <w:rPr>
          <w:sz w:val="26"/>
          <w:szCs w:val="26"/>
        </w:rPr>
        <w:t xml:space="preserve">Признать утратившим силу постановление Администрации сельского поселения </w:t>
      </w:r>
      <w:proofErr w:type="spellStart"/>
      <w:r>
        <w:rPr>
          <w:sz w:val="26"/>
          <w:szCs w:val="26"/>
        </w:rPr>
        <w:t>Сейтяковский</w:t>
      </w:r>
      <w:proofErr w:type="spellEnd"/>
      <w:r w:rsidRPr="00D043A0">
        <w:rPr>
          <w:sz w:val="26"/>
          <w:szCs w:val="26"/>
        </w:rPr>
        <w:t xml:space="preserve"> сельсовет муниципального района </w:t>
      </w:r>
      <w:proofErr w:type="spellStart"/>
      <w:r w:rsidRPr="00D043A0">
        <w:rPr>
          <w:sz w:val="26"/>
          <w:szCs w:val="26"/>
        </w:rPr>
        <w:t>Балтачевский</w:t>
      </w:r>
      <w:proofErr w:type="spellEnd"/>
      <w:r w:rsidRPr="00D043A0">
        <w:rPr>
          <w:sz w:val="26"/>
          <w:szCs w:val="26"/>
        </w:rPr>
        <w:t xml:space="preserve"> район Республики Башкортостан от </w:t>
      </w:r>
      <w:r w:rsidR="004A3110">
        <w:rPr>
          <w:sz w:val="26"/>
          <w:szCs w:val="26"/>
        </w:rPr>
        <w:t>03</w:t>
      </w:r>
      <w:r>
        <w:rPr>
          <w:sz w:val="26"/>
          <w:szCs w:val="26"/>
        </w:rPr>
        <w:t xml:space="preserve"> </w:t>
      </w:r>
      <w:r w:rsidRPr="00D043A0">
        <w:rPr>
          <w:sz w:val="26"/>
          <w:szCs w:val="26"/>
        </w:rPr>
        <w:t>марта 20</w:t>
      </w:r>
      <w:r>
        <w:rPr>
          <w:sz w:val="26"/>
          <w:szCs w:val="26"/>
        </w:rPr>
        <w:t>20</w:t>
      </w:r>
      <w:r w:rsidRPr="00D043A0">
        <w:rPr>
          <w:sz w:val="26"/>
          <w:szCs w:val="26"/>
        </w:rPr>
        <w:t xml:space="preserve"> года № 1</w:t>
      </w:r>
      <w:r w:rsidR="004A3110">
        <w:rPr>
          <w:sz w:val="26"/>
          <w:szCs w:val="26"/>
        </w:rPr>
        <w:t>1</w:t>
      </w:r>
      <w:r>
        <w:rPr>
          <w:sz w:val="26"/>
          <w:szCs w:val="26"/>
        </w:rPr>
        <w:t xml:space="preserve"> «</w:t>
      </w:r>
      <w:r w:rsidRPr="00446888">
        <w:rPr>
          <w:sz w:val="26"/>
          <w:szCs w:val="26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 w:val="26"/>
          <w:szCs w:val="26"/>
        </w:rPr>
        <w:t>Сейтяковский</w:t>
      </w:r>
      <w:proofErr w:type="spellEnd"/>
      <w:r w:rsidRPr="00446888">
        <w:rPr>
          <w:sz w:val="26"/>
          <w:szCs w:val="26"/>
        </w:rPr>
        <w:t xml:space="preserve"> сельсовет муниципального района </w:t>
      </w:r>
      <w:proofErr w:type="spellStart"/>
      <w:r w:rsidRPr="00446888">
        <w:rPr>
          <w:sz w:val="26"/>
          <w:szCs w:val="26"/>
        </w:rPr>
        <w:t>Балтачевский</w:t>
      </w:r>
      <w:proofErr w:type="spellEnd"/>
      <w:r w:rsidRPr="00446888">
        <w:rPr>
          <w:sz w:val="26"/>
          <w:szCs w:val="26"/>
        </w:rPr>
        <w:t xml:space="preserve"> район Республики Башкортостан в текущем финансовом году</w:t>
      </w:r>
      <w:r w:rsidRPr="00D043A0">
        <w:rPr>
          <w:sz w:val="26"/>
          <w:szCs w:val="26"/>
        </w:rPr>
        <w:t>»</w:t>
      </w:r>
    </w:p>
    <w:p w:rsidR="00E00451" w:rsidRPr="00D043A0" w:rsidRDefault="00E00451" w:rsidP="00E0045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00451" w:rsidRPr="00D043A0" w:rsidRDefault="00E00451" w:rsidP="00E00451">
      <w:pPr>
        <w:ind w:firstLine="708"/>
        <w:jc w:val="both"/>
        <w:rPr>
          <w:sz w:val="26"/>
          <w:szCs w:val="26"/>
        </w:rPr>
      </w:pPr>
      <w:r w:rsidRPr="00D043A0">
        <w:rPr>
          <w:sz w:val="26"/>
          <w:szCs w:val="26"/>
          <w:lang w:val="be-BY"/>
        </w:rPr>
        <w:t xml:space="preserve">2. Контроль за исполнением настоящего </w:t>
      </w:r>
      <w:r w:rsidRPr="00D043A0">
        <w:rPr>
          <w:sz w:val="26"/>
          <w:szCs w:val="26"/>
        </w:rPr>
        <w:t>решения возложить на постоянную комиссию по бюджету, налогам, вопросам собственности.</w:t>
      </w:r>
    </w:p>
    <w:p w:rsidR="00E00451" w:rsidRPr="00D043A0" w:rsidRDefault="00E00451" w:rsidP="00E00451">
      <w:pPr>
        <w:jc w:val="both"/>
        <w:rPr>
          <w:rFonts w:ascii="Bookman Old Style" w:hAnsi="Bookman Old Style"/>
          <w:b/>
          <w:sz w:val="26"/>
          <w:szCs w:val="26"/>
        </w:rPr>
      </w:pPr>
      <w:r w:rsidRPr="00D043A0">
        <w:rPr>
          <w:rFonts w:ascii="Bookman Old Style" w:hAnsi="Bookman Old Style"/>
          <w:b/>
          <w:sz w:val="26"/>
          <w:szCs w:val="26"/>
        </w:rPr>
        <w:t xml:space="preserve"> </w:t>
      </w:r>
    </w:p>
    <w:p w:rsidR="00E00451" w:rsidRPr="00D043A0" w:rsidRDefault="00E00451" w:rsidP="00E00451">
      <w:pPr>
        <w:ind w:left="142"/>
        <w:rPr>
          <w:sz w:val="26"/>
          <w:szCs w:val="26"/>
        </w:rPr>
      </w:pPr>
      <w:r w:rsidRPr="00D043A0">
        <w:rPr>
          <w:sz w:val="26"/>
          <w:szCs w:val="26"/>
        </w:rPr>
        <w:t xml:space="preserve">Глава сельского поселения </w:t>
      </w:r>
    </w:p>
    <w:p w:rsidR="00E00451" w:rsidRPr="00D043A0" w:rsidRDefault="00E00451" w:rsidP="00E00451">
      <w:pPr>
        <w:ind w:left="142"/>
        <w:rPr>
          <w:sz w:val="26"/>
          <w:szCs w:val="26"/>
          <w:lang w:val="be-BY"/>
        </w:rPr>
      </w:pPr>
      <w:proofErr w:type="spellStart"/>
      <w:r>
        <w:rPr>
          <w:sz w:val="26"/>
          <w:szCs w:val="26"/>
        </w:rPr>
        <w:t>Сейтяковский</w:t>
      </w:r>
      <w:proofErr w:type="spellEnd"/>
      <w:r w:rsidRPr="00D043A0">
        <w:rPr>
          <w:sz w:val="26"/>
          <w:szCs w:val="26"/>
        </w:rPr>
        <w:t xml:space="preserve"> сельсовет </w:t>
      </w:r>
    </w:p>
    <w:p w:rsidR="00E00451" w:rsidRPr="00D043A0" w:rsidRDefault="00E00451" w:rsidP="00E00451">
      <w:pPr>
        <w:ind w:left="142"/>
        <w:rPr>
          <w:sz w:val="26"/>
          <w:szCs w:val="26"/>
        </w:rPr>
      </w:pPr>
      <w:r w:rsidRPr="00D043A0">
        <w:rPr>
          <w:sz w:val="26"/>
          <w:szCs w:val="26"/>
        </w:rPr>
        <w:t>муниципального района</w:t>
      </w:r>
    </w:p>
    <w:p w:rsidR="00E00451" w:rsidRPr="00D043A0" w:rsidRDefault="00E00451" w:rsidP="00E00451">
      <w:pPr>
        <w:ind w:left="142"/>
        <w:rPr>
          <w:sz w:val="26"/>
          <w:szCs w:val="26"/>
        </w:rPr>
      </w:pPr>
      <w:proofErr w:type="spellStart"/>
      <w:smartTag w:uri="urn:schemas-microsoft-com:office:smarttags" w:element="PersonName">
        <w:smartTagPr>
          <w:attr w:name="ProductID" w:val="Балтачевский район"/>
        </w:smartTagPr>
        <w:r w:rsidRPr="00D043A0">
          <w:rPr>
            <w:sz w:val="26"/>
            <w:szCs w:val="26"/>
          </w:rPr>
          <w:t>Балтачевский</w:t>
        </w:r>
        <w:proofErr w:type="spellEnd"/>
        <w:r w:rsidRPr="00D043A0">
          <w:rPr>
            <w:sz w:val="26"/>
            <w:szCs w:val="26"/>
          </w:rPr>
          <w:t xml:space="preserve"> район</w:t>
        </w:r>
      </w:smartTag>
    </w:p>
    <w:p w:rsidR="00E00451" w:rsidRDefault="00E00451" w:rsidP="00E00451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043A0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</w:r>
      <w:r>
        <w:rPr>
          <w:rFonts w:ascii="Times New Roman" w:hAnsi="Times New Roman" w:cs="Times New Roman"/>
          <w:sz w:val="26"/>
          <w:szCs w:val="26"/>
          <w:lang w:val="be-BY"/>
        </w:rPr>
        <w:tab/>
        <w:t xml:space="preserve">  Э.С.Фаюршина </w:t>
      </w:r>
    </w:p>
    <w:p w:rsidR="00E00451" w:rsidRPr="008262FC" w:rsidRDefault="00E00451" w:rsidP="00E00451">
      <w:pPr>
        <w:pStyle w:val="ConsPlusNormal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8262FC">
        <w:rPr>
          <w:rFonts w:ascii="Times New Roman" w:hAnsi="Times New Roman" w:cs="Times New Roman"/>
        </w:rPr>
        <w:lastRenderedPageBreak/>
        <w:t>Утвержден</w:t>
      </w:r>
    </w:p>
    <w:p w:rsidR="00E00451" w:rsidRPr="008262FC" w:rsidRDefault="00E00451" w:rsidP="00E00451">
      <w:pPr>
        <w:pStyle w:val="ConsPlusNormal"/>
        <w:ind w:left="5103"/>
        <w:rPr>
          <w:rFonts w:ascii="Times New Roman" w:hAnsi="Times New Roman" w:cs="Times New Roman"/>
        </w:rPr>
      </w:pPr>
      <w:r w:rsidRPr="008262FC">
        <w:rPr>
          <w:rFonts w:ascii="Times New Roman" w:hAnsi="Times New Roman" w:cs="Times New Roman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Сейтяковский</w:t>
      </w:r>
      <w:proofErr w:type="spellEnd"/>
      <w:r w:rsidRPr="008262FC">
        <w:rPr>
          <w:rFonts w:ascii="Times New Roman" w:hAnsi="Times New Roman" w:cs="Times New Roman"/>
        </w:rPr>
        <w:t xml:space="preserve"> сельсовет муниципального района</w:t>
      </w:r>
    </w:p>
    <w:p w:rsidR="00E00451" w:rsidRPr="008262FC" w:rsidRDefault="00E00451" w:rsidP="00E00451">
      <w:pPr>
        <w:pStyle w:val="ConsPlusNormal"/>
        <w:ind w:left="5103"/>
        <w:rPr>
          <w:rFonts w:ascii="Times New Roman" w:hAnsi="Times New Roman" w:cs="Times New Roman"/>
        </w:rPr>
      </w:pPr>
      <w:proofErr w:type="spellStart"/>
      <w:smartTag w:uri="urn:schemas-microsoft-com:office:smarttags" w:element="PersonName">
        <w:smartTagPr>
          <w:attr w:name="ProductID" w:val="Балтачевский район"/>
        </w:smartTagPr>
        <w:r w:rsidRPr="008262FC">
          <w:rPr>
            <w:rFonts w:ascii="Times New Roman" w:hAnsi="Times New Roman" w:cs="Times New Roman"/>
          </w:rPr>
          <w:t>Балтачевский</w:t>
        </w:r>
        <w:proofErr w:type="spellEnd"/>
        <w:r w:rsidRPr="008262FC">
          <w:rPr>
            <w:rFonts w:ascii="Times New Roman" w:hAnsi="Times New Roman" w:cs="Times New Roman"/>
          </w:rPr>
          <w:t xml:space="preserve"> район</w:t>
        </w:r>
      </w:smartTag>
    </w:p>
    <w:p w:rsidR="00E00451" w:rsidRPr="008262FC" w:rsidRDefault="00E00451" w:rsidP="00E00451">
      <w:pPr>
        <w:pStyle w:val="ConsPlusNormal"/>
        <w:ind w:left="5103"/>
        <w:rPr>
          <w:rFonts w:ascii="Times New Roman" w:hAnsi="Times New Roman" w:cs="Times New Roman"/>
        </w:rPr>
      </w:pPr>
      <w:r w:rsidRPr="008262FC">
        <w:rPr>
          <w:rFonts w:ascii="Times New Roman" w:hAnsi="Times New Roman" w:cs="Times New Roman"/>
        </w:rPr>
        <w:t>Республики Башкортостан</w:t>
      </w:r>
    </w:p>
    <w:p w:rsidR="00E00451" w:rsidRPr="008262FC" w:rsidRDefault="00E00451" w:rsidP="00E00451">
      <w:pPr>
        <w:pStyle w:val="ConsPlusNormal"/>
        <w:ind w:left="5103"/>
        <w:rPr>
          <w:rFonts w:ascii="Times New Roman" w:hAnsi="Times New Roman" w:cs="Times New Roman"/>
        </w:rPr>
      </w:pPr>
      <w:r w:rsidRPr="008262FC">
        <w:rPr>
          <w:rFonts w:ascii="Times New Roman" w:hAnsi="Times New Roman" w:cs="Times New Roman"/>
        </w:rPr>
        <w:t xml:space="preserve">от  01 февраля </w:t>
      </w:r>
      <w:smartTag w:uri="urn:schemas-microsoft-com:office:smarttags" w:element="metricconverter">
        <w:smartTagPr>
          <w:attr w:name="ProductID" w:val="2021 г"/>
        </w:smartTagPr>
        <w:r w:rsidRPr="008262FC">
          <w:rPr>
            <w:rFonts w:ascii="Times New Roman" w:hAnsi="Times New Roman" w:cs="Times New Roman"/>
          </w:rPr>
          <w:t>2021 г</w:t>
        </w:r>
      </w:smartTag>
      <w:r w:rsidR="006602C3">
        <w:rPr>
          <w:rFonts w:ascii="Times New Roman" w:hAnsi="Times New Roman" w:cs="Times New Roman"/>
        </w:rPr>
        <w:t>. №6</w:t>
      </w:r>
    </w:p>
    <w:p w:rsidR="00E00451" w:rsidRPr="008262FC" w:rsidRDefault="00E00451" w:rsidP="00E00451">
      <w:pPr>
        <w:pStyle w:val="ConsPlusNormal"/>
        <w:jc w:val="right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pStyle w:val="ConsPlusNormal"/>
        <w:jc w:val="center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5"/>
      <w:bookmarkEnd w:id="0"/>
      <w:r w:rsidRPr="008262FC">
        <w:rPr>
          <w:rFonts w:ascii="Times New Roman" w:hAnsi="Times New Roman" w:cs="Times New Roman"/>
          <w:sz w:val="20"/>
        </w:rPr>
        <w:t>ПОРЯДОК</w:t>
      </w:r>
    </w:p>
    <w:p w:rsidR="00E00451" w:rsidRPr="008262FC" w:rsidRDefault="00E00451" w:rsidP="00E004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62FC">
        <w:rPr>
          <w:rFonts w:ascii="Times New Roman" w:hAnsi="Times New Roman" w:cs="Times New Roman"/>
          <w:sz w:val="20"/>
        </w:rPr>
        <w:t xml:space="preserve">составления и ведения кассового плана исполнения бюджета сельского поселения </w:t>
      </w:r>
      <w:proofErr w:type="spellStart"/>
      <w:r>
        <w:rPr>
          <w:rFonts w:ascii="Times New Roman" w:hAnsi="Times New Roman" w:cs="Times New Roman"/>
          <w:sz w:val="20"/>
        </w:rPr>
        <w:t>Сейтяковский</w:t>
      </w:r>
      <w:proofErr w:type="spellEnd"/>
      <w:r w:rsidRPr="008262FC">
        <w:rPr>
          <w:rFonts w:ascii="Times New Roman" w:hAnsi="Times New Roman" w:cs="Times New Roman"/>
          <w:sz w:val="20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rPr>
            <w:rFonts w:ascii="Times New Roman" w:hAnsi="Times New Roman" w:cs="Times New Roman"/>
            <w:sz w:val="20"/>
          </w:rPr>
          <w:t xml:space="preserve">района </w:t>
        </w:r>
        <w:proofErr w:type="spellStart"/>
        <w:r w:rsidRPr="008262FC">
          <w:rPr>
            <w:rFonts w:ascii="Times New Roman" w:hAnsi="Times New Roman" w:cs="Times New Roman"/>
            <w:sz w:val="20"/>
          </w:rPr>
          <w:t>Балтачевский</w:t>
        </w:r>
      </w:smartTag>
      <w:proofErr w:type="spellEnd"/>
      <w:r w:rsidRPr="008262FC">
        <w:rPr>
          <w:rFonts w:ascii="Times New Roman" w:hAnsi="Times New Roman" w:cs="Times New Roman"/>
          <w:sz w:val="20"/>
        </w:rPr>
        <w:t xml:space="preserve"> район Республики Башкортостан </w:t>
      </w:r>
    </w:p>
    <w:p w:rsidR="00E00451" w:rsidRPr="008262FC" w:rsidRDefault="00E00451" w:rsidP="00E004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262FC">
        <w:rPr>
          <w:rFonts w:ascii="Times New Roman" w:hAnsi="Times New Roman" w:cs="Times New Roman"/>
          <w:sz w:val="20"/>
        </w:rPr>
        <w:t>в текущем финансовом году</w:t>
      </w:r>
    </w:p>
    <w:p w:rsidR="00E00451" w:rsidRPr="008262FC" w:rsidRDefault="00E00451" w:rsidP="00E00451">
      <w:pPr>
        <w:pStyle w:val="ConsPlusNormal"/>
        <w:jc w:val="center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>I. Общие положения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autoSpaceDE w:val="0"/>
        <w:autoSpaceDN w:val="0"/>
        <w:adjustRightInd w:val="0"/>
        <w:ind w:firstLine="709"/>
        <w:jc w:val="both"/>
      </w:pPr>
      <w:r w:rsidRPr="008262FC">
        <w:t xml:space="preserve">1. </w:t>
      </w:r>
      <w:proofErr w:type="gramStart"/>
      <w:r w:rsidRPr="008262FC"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>района</w:t>
        </w:r>
        <w:proofErr w:type="gramEnd"/>
        <w:r w:rsidRPr="008262FC">
          <w:t xml:space="preserve">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2. Кассовый план включает: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кассовый план исполнения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кассовый план исполнения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 на текущий месяц.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3. Составление и ведение кассового плана осуществляется Администрацией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В ходе составления и ведения кассового плана Администрация сельского поселения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и показателях 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(далее – информация об исполнении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</w:t>
      </w:r>
      <w:proofErr w:type="gramEnd"/>
      <w:r w:rsidRPr="008262FC">
        <w:t xml:space="preserve"> </w:t>
      </w:r>
      <w:proofErr w:type="spellStart"/>
      <w:proofErr w:type="gramStart"/>
      <w:r w:rsidRPr="008262FC">
        <w:t>Балтачевский</w:t>
      </w:r>
      <w:proofErr w:type="spellEnd"/>
      <w:r w:rsidRPr="008262FC">
        <w:t xml:space="preserve"> район Республики Башкортостан).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4. </w:t>
      </w:r>
      <w:proofErr w:type="gramStart"/>
      <w:r w:rsidRPr="008262FC">
        <w:t xml:space="preserve">Кассовый план исполнения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</w:t>
      </w:r>
      <w:r w:rsidRPr="008262FC">
        <w:lastRenderedPageBreak/>
        <w:t xml:space="preserve">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8262FC">
          <w:t>форме</w:t>
        </w:r>
      </w:hyperlink>
      <w:r w:rsidRPr="008262FC">
        <w:t xml:space="preserve"> согласно приложению № 1 к настоящему Порядку, кассовый план исполнения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8262FC">
          <w:t xml:space="preserve">приложению № </w:t>
        </w:r>
      </w:hyperlink>
      <w:r w:rsidRPr="008262FC">
        <w:t>2</w:t>
      </w:r>
      <w:proofErr w:type="gramEnd"/>
      <w:r w:rsidRPr="008262FC">
        <w:t xml:space="preserve"> к настоящему Порядку и утверждается главой  сельского поселения (лицом, исполняющим его обязанности).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262FC">
          <w:t xml:space="preserve">главами </w:t>
        </w:r>
        <w:r w:rsidRPr="008262FC">
          <w:br/>
          <w:t>II</w:t>
        </w:r>
      </w:hyperlink>
      <w:r w:rsidRPr="008262FC">
        <w:t xml:space="preserve"> - </w:t>
      </w:r>
      <w:hyperlink w:anchor="P108" w:history="1">
        <w:r w:rsidRPr="008262FC">
          <w:t>IV</w:t>
        </w:r>
      </w:hyperlink>
      <w:r w:rsidRPr="008262FC">
        <w:t xml:space="preserve"> настоящего Порядка: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8262FC">
          <w:t>главой II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8262FC">
          <w:t>главой III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8262FC">
          <w:t>главой IV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иных необходимых показателей.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8262FC">
          <w:t xml:space="preserve">главами </w:t>
        </w:r>
        <w:r w:rsidRPr="008262FC">
          <w:br/>
          <w:t>II</w:t>
        </w:r>
      </w:hyperlink>
      <w:r w:rsidRPr="008262FC">
        <w:t xml:space="preserve"> - </w:t>
      </w:r>
      <w:hyperlink w:anchor="P108" w:history="1">
        <w:r w:rsidRPr="008262FC">
          <w:t>IV</w:t>
        </w:r>
      </w:hyperlink>
      <w:r w:rsidRPr="008262FC">
        <w:t xml:space="preserve"> настоящего Порядка: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 Республики</w:t>
      </w:r>
      <w:r w:rsidRPr="008262FC">
        <w:tab/>
        <w:t xml:space="preserve"> Башкортостан на текущий месяц, формируемого в порядке, предусмотренном </w:t>
      </w:r>
      <w:hyperlink w:anchor="P54" w:history="1">
        <w:r w:rsidRPr="008262FC">
          <w:t>главой II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месяц, формируемого в порядке, предусмотренном </w:t>
      </w:r>
      <w:hyperlink w:anchor="P83" w:history="1">
        <w:r w:rsidRPr="008262FC">
          <w:t>главой III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8262FC">
          <w:t>главой IV</w:t>
        </w:r>
      </w:hyperlink>
      <w:r w:rsidRPr="008262FC">
        <w:t xml:space="preserve"> настоящего Порядка;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иных необходимых показателей.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7. Показатели кассового плана на текущий месяц </w:t>
      </w:r>
      <w:hyperlink w:anchor="P1446" w:history="1">
        <w:r w:rsidRPr="008262FC">
          <w:t>(приложение № 2)</w:t>
        </w:r>
      </w:hyperlink>
      <w:r w:rsidRPr="008262FC">
        <w:t xml:space="preserve"> должны соответствовать показателям кассового плана на текущий финансовый год </w:t>
      </w:r>
      <w:hyperlink w:anchor="P645" w:history="1">
        <w:r w:rsidRPr="008262FC">
          <w:t>(приложение № 1)</w:t>
        </w:r>
      </w:hyperlink>
      <w:r w:rsidRPr="008262FC">
        <w:t xml:space="preserve"> по текущему месяцу с учетом внесенных в него изменений в </w:t>
      </w:r>
      <w:r w:rsidRPr="008262FC">
        <w:lastRenderedPageBreak/>
        <w:t>ходе ведения кассового плана.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bookmarkStart w:id="1" w:name="P54"/>
      <w:bookmarkEnd w:id="1"/>
      <w:r w:rsidRPr="008262FC">
        <w:t>II. Порядок составления, уточнения и направления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8. </w:t>
      </w:r>
      <w:proofErr w:type="gramStart"/>
      <w:r w:rsidRPr="008262FC">
        <w:t xml:space="preserve">Показатели для кассового плана на текущий финансовый год по поступлениям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</w:t>
      </w:r>
      <w:proofErr w:type="gramEnd"/>
      <w:r w:rsidRPr="008262FC">
        <w:t xml:space="preserve">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9. </w:t>
      </w:r>
      <w:proofErr w:type="gramStart"/>
      <w:r w:rsidRPr="008262FC">
        <w:t xml:space="preserve">В целях составления кассового плана на текущий финансовый год </w:t>
      </w:r>
      <w:r w:rsidRPr="008262FC"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главными администраторами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Башкортостан: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по налоговым и неналоговым доходам, по безвозмездным поступлениям  – в Администрацию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(далее – Администрация сельского поселения);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формируют уточненные прогнозы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3 к настоящему 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При уточнении 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Башкортостан, и уточняются соответствующие</w:t>
      </w:r>
      <w:proofErr w:type="gramEnd"/>
      <w:r w:rsidRPr="008262FC">
        <w:t xml:space="preserve"> </w:t>
      </w:r>
      <w:r w:rsidRPr="008262FC">
        <w:lastRenderedPageBreak/>
        <w:t>показатели периода, следующего за отчетным месяцем.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Уточненные прогнозы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направляются главными администраторами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</w:t>
      </w:r>
      <w:r w:rsidRPr="008262FC">
        <w:tab/>
        <w:t>по</w:t>
      </w:r>
      <w:r w:rsidRPr="008262FC"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по налоговым и неналоговым доходам, по безвозмездным поступлениям – в Администрацию сельского поселения;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11. </w:t>
      </w:r>
      <w:proofErr w:type="gramStart"/>
      <w:r w:rsidRPr="008262FC">
        <w:t xml:space="preserve">Администрация сельского поселения на основе прогнозов главных администраторов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в целях составления кассового плана на текущий финансовый год – </w:t>
      </w:r>
      <w:r w:rsidRPr="008262FC">
        <w:br/>
        <w:t>не позднее четырнадцатого рабочего дня декабря текущего финансового года;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в целях ведения кассового плана на текущий финансовый год в период </w:t>
      </w:r>
      <w:r w:rsidRPr="008262FC">
        <w:br/>
        <w:t>с февраля по декабрь</w:t>
      </w:r>
      <w:proofErr w:type="gramEnd"/>
      <w:r w:rsidRPr="008262FC"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12. </w:t>
      </w:r>
      <w:proofErr w:type="gramStart"/>
      <w:r w:rsidRPr="008262FC">
        <w:t xml:space="preserve">Показатели для кассового плана на текущий месяц по поступлениям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(приложение №5 к настоящему Порядку), полученного от главных администраторов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proofErr w:type="gramEnd"/>
      <w:r w:rsidRPr="008262FC">
        <w:t xml:space="preserve"> район Республики Башкортостан.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13. Прогнозы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по налоговым и неналоговым доходам, по безвозмездным поступлениям – в Администрацию сельского поселения;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14. </w:t>
      </w:r>
      <w:proofErr w:type="gramStart"/>
      <w:r w:rsidRPr="008262FC"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</w:t>
      </w:r>
      <w:r w:rsidRPr="008262FC">
        <w:lastRenderedPageBreak/>
        <w:t xml:space="preserve">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по налоговым и неналоговым доходам по безвозмездным поступлениям,  – в Администрацию сельского поселения;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15. </w:t>
      </w:r>
      <w:proofErr w:type="gramStart"/>
      <w:r w:rsidRPr="008262FC">
        <w:t xml:space="preserve">Администрация сельского поселения на основе </w:t>
      </w:r>
      <w:hyperlink w:anchor="P1387" w:history="1">
        <w:r w:rsidRPr="008262FC">
          <w:t>прогнозов</w:t>
        </w:r>
      </w:hyperlink>
      <w:r w:rsidRPr="008262FC">
        <w:t xml:space="preserve"> главных администраторов доходов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месяц, согласованный главой сельского поселения, (приложение № 6 к настоящему Порядку):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на январь текущего финансового года – не позднее четырнадцатого рабочего дня декабря текущего финансового года;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>в период с февраля по декабрь текущего финансового года по состоянию на первое число</w:t>
      </w:r>
      <w:proofErr w:type="gramEnd"/>
      <w:r w:rsidRPr="008262FC">
        <w:t xml:space="preserve"> текущего месяца – ежемесячно не позднее четвертого рабочего дня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16. Показатели 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3) по текущему месяцу.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III. Порядок составления, уточнения и направления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и 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17. Показатели для кассового плана на текущий финансовый год </w:t>
      </w:r>
      <w:r w:rsidRPr="008262FC">
        <w:br/>
        <w:t xml:space="preserve">по перечислениям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формируются на основании: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Башкортостан;</w:t>
      </w:r>
    </w:p>
    <w:p w:rsidR="00E00451" w:rsidRPr="008262FC" w:rsidRDefault="00EF0A8F" w:rsidP="00E00451">
      <w:pPr>
        <w:widowControl w:val="0"/>
        <w:autoSpaceDE w:val="0"/>
        <w:autoSpaceDN w:val="0"/>
        <w:ind w:firstLine="709"/>
        <w:jc w:val="both"/>
      </w:pPr>
      <w:hyperlink w:anchor="P272" w:history="1">
        <w:r w:rsidR="00E00451" w:rsidRPr="008262FC">
          <w:t>прогнозов</w:t>
        </w:r>
      </w:hyperlink>
      <w:r w:rsidR="00E00451" w:rsidRPr="008262FC">
        <w:t xml:space="preserve"> перечислений по расходам бюджета сельского поселения </w:t>
      </w:r>
      <w:proofErr w:type="spellStart"/>
      <w:r w:rsidR="00E00451">
        <w:t>Сейтяковский</w:t>
      </w:r>
      <w:proofErr w:type="spellEnd"/>
      <w:r w:rsidR="00E00451"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="00E00451" w:rsidRPr="008262FC">
          <w:t xml:space="preserve">района </w:t>
        </w:r>
        <w:proofErr w:type="spellStart"/>
        <w:r w:rsidR="00E00451" w:rsidRPr="008262FC">
          <w:t>Балтачевский</w:t>
        </w:r>
      </w:smartTag>
      <w:proofErr w:type="spellEnd"/>
      <w:r w:rsidR="00E00451" w:rsidRPr="008262FC">
        <w:t xml:space="preserve"> район Республики Башкортостан на текущий финансовый год (приложение № 7 к настоящему </w:t>
      </w:r>
      <w:r w:rsidR="00E00451" w:rsidRPr="008262FC">
        <w:lastRenderedPageBreak/>
        <w:t>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18. </w:t>
      </w:r>
      <w:proofErr w:type="gramStart"/>
      <w:r w:rsidRPr="008262FC"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(далее – главные распорядители) формируют </w:t>
      </w:r>
      <w:hyperlink w:anchor="P272" w:history="1">
        <w:r w:rsidRPr="008262FC">
          <w:t>прогноз</w:t>
        </w:r>
      </w:hyperlink>
      <w:r w:rsidRPr="008262FC">
        <w:t xml:space="preserve">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</w:t>
      </w:r>
      <w:r w:rsidRPr="008262FC">
        <w:tab/>
        <w:t>(приложение № 7 к настоящему Порядку) и направляют в Администрацию сельского поселения не позднее тринадцатого</w:t>
      </w:r>
      <w:proofErr w:type="gramEnd"/>
      <w:r w:rsidRPr="008262FC">
        <w:t xml:space="preserve"> рабочего дня декабря текущего финансового года.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8262FC">
          <w:t>прогноз</w:t>
        </w:r>
      </w:hyperlink>
      <w:r w:rsidRPr="008262FC">
        <w:t xml:space="preserve">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7 к настоящему Порядку) и направляют в Администрацию сельского поселения.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Уточнение 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осуществляется: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на основании информации об исполнении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</w:t>
      </w:r>
      <w:proofErr w:type="gramStart"/>
      <w:r w:rsidRPr="008262FC">
        <w:t>по расходам в период с февраля по декабрь текущего финансового года по состоянию</w:t>
      </w:r>
      <w:proofErr w:type="gramEnd"/>
      <w:r w:rsidRPr="008262FC">
        <w:t xml:space="preserve"> на первое число текущего месяца – ежемесячно не позднее третьего рабочего дня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При уточнении 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20. Показатели для кассового плана на текущий месяц по перечислениям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формируются на основании </w:t>
      </w:r>
      <w:hyperlink w:anchor="P272" w:history="1">
        <w:r w:rsidRPr="008262FC">
          <w:t>прогнозов</w:t>
        </w:r>
      </w:hyperlink>
      <w:r w:rsidRPr="008262FC">
        <w:t xml:space="preserve">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(приложение № 8 к настоящему 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8262FC">
          <w:t>прогноз</w:t>
        </w:r>
      </w:hyperlink>
      <w:r w:rsidRPr="008262FC">
        <w:t xml:space="preserve"> перечислений по расходам бюджета сельского </w:t>
      </w:r>
      <w:r w:rsidRPr="008262FC">
        <w:lastRenderedPageBreak/>
        <w:t xml:space="preserve">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(приложение № 8 к настоящему Порядку) и направляют в Администрацию сельского поселения: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на январь текущего финансового года – не позднее тринадцатого рабочего дня декабря текущего финансового года;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>в период с февраля по декабрь текущего финансового года по состоянию на первое число</w:t>
      </w:r>
      <w:proofErr w:type="gramEnd"/>
      <w:r w:rsidRPr="008262FC">
        <w:t xml:space="preserve"> текущего месяца – ежемесячно не позднее третьего рабочего дня.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22. Показатели 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7) по текущему месяцу.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bookmarkStart w:id="2" w:name="P108"/>
      <w:bookmarkEnd w:id="2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IV. Порядок составления, уточнения и направления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прогнозов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23. Показатели для кассового плана на текущий финансовый год </w:t>
      </w:r>
      <w:r w:rsidRPr="008262FC">
        <w:br/>
        <w:t xml:space="preserve">по поступлениям и перечислениям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формируются на основании: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сводной бюджетной росписи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Башкортостан;</w:t>
      </w:r>
    </w:p>
    <w:p w:rsidR="00E00451" w:rsidRPr="008262FC" w:rsidRDefault="00EF0A8F" w:rsidP="00E00451">
      <w:pPr>
        <w:widowControl w:val="0"/>
        <w:autoSpaceDE w:val="0"/>
        <w:autoSpaceDN w:val="0"/>
        <w:ind w:firstLine="709"/>
        <w:jc w:val="both"/>
      </w:pPr>
      <w:hyperlink w:anchor="P380" w:history="1">
        <w:r w:rsidR="00E00451" w:rsidRPr="008262FC">
          <w:t>прогноза</w:t>
        </w:r>
      </w:hyperlink>
      <w:r w:rsidR="00E00451"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 w:rsidR="00E00451">
        <w:t>Сейтяковский</w:t>
      </w:r>
      <w:proofErr w:type="spellEnd"/>
      <w:r w:rsidR="00E00451"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="00E00451" w:rsidRPr="008262FC">
          <w:t xml:space="preserve">района </w:t>
        </w:r>
        <w:proofErr w:type="spellStart"/>
        <w:r w:rsidR="00E00451" w:rsidRPr="008262FC">
          <w:t>Балтачевский</w:t>
        </w:r>
      </w:smartTag>
      <w:proofErr w:type="spellEnd"/>
      <w:r w:rsidR="00E00451" w:rsidRPr="008262FC">
        <w:t xml:space="preserve"> район Республики Башкортостан на текущий финансовый год (приложение № 9 к настоящему 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24. </w:t>
      </w:r>
      <w:proofErr w:type="gramStart"/>
      <w:r w:rsidRPr="008262FC"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</w:t>
      </w:r>
      <w:r w:rsidRPr="008262FC">
        <w:lastRenderedPageBreak/>
        <w:t xml:space="preserve">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</w:t>
      </w:r>
      <w:proofErr w:type="gramEnd"/>
      <w:r w:rsidRPr="008262FC">
        <w:t xml:space="preserve">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9 к настоящему 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25. </w:t>
      </w:r>
      <w:proofErr w:type="gramStart"/>
      <w:r w:rsidRPr="008262FC"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(приложение</w:t>
      </w:r>
      <w:proofErr w:type="gramEnd"/>
      <w:r w:rsidRPr="008262FC">
        <w:t xml:space="preserve"> № </w:t>
      </w:r>
      <w:proofErr w:type="gramStart"/>
      <w:r w:rsidRPr="008262FC">
        <w:t>9 к настоящему Порядку).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26. </w:t>
      </w:r>
      <w:proofErr w:type="gramStart"/>
      <w:r w:rsidRPr="008262FC"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год. 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При уточнении указываются фактические поступления и перечисления </w:t>
      </w:r>
      <w:r w:rsidRPr="008262FC">
        <w:br/>
        <w:t xml:space="preserve">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Уточненный прогноз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</w:t>
      </w:r>
      <w:r w:rsidRPr="008262FC">
        <w:tab/>
        <w:t>в период с февраля по декабрь текущего финансового года по состоянию на первое число текущего месяца в Администрацию сельского</w:t>
      </w:r>
      <w:proofErr w:type="gramEnd"/>
      <w:r w:rsidRPr="008262FC">
        <w:t xml:space="preserve"> поселения </w:t>
      </w:r>
      <w:r w:rsidRPr="008262FC">
        <w:tab/>
        <w:t>ежемесячно не позднее третьего рабочего дня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</w:t>
      </w:r>
      <w:r w:rsidRPr="008262FC">
        <w:lastRenderedPageBreak/>
        <w:t xml:space="preserve">число текущего месяца ежемесячно не позднее третьего рабочего дня текущего месяца, согласованный главой сельского поселения уточненный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(приложение</w:t>
      </w:r>
      <w:proofErr w:type="gramEnd"/>
      <w:r w:rsidRPr="008262FC">
        <w:t xml:space="preserve"> № </w:t>
      </w:r>
      <w:proofErr w:type="gramStart"/>
      <w:r w:rsidRPr="008262FC">
        <w:t>9 к настоящему Порядку).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27. </w:t>
      </w:r>
      <w:proofErr w:type="gramStart"/>
      <w:r w:rsidRPr="008262FC"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и 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8262FC">
          <w:t>прогноз</w:t>
        </w:r>
      </w:hyperlink>
      <w:r w:rsidRPr="008262FC">
        <w:t xml:space="preserve"> поступлений и</w:t>
      </w:r>
      <w:proofErr w:type="gramEnd"/>
      <w:r w:rsidRPr="008262FC">
        <w:t xml:space="preserve">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финансовый год (приложение № 9 к настоящему Порядку).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28. </w:t>
      </w:r>
      <w:proofErr w:type="gramStart"/>
      <w:r w:rsidRPr="008262FC">
        <w:t xml:space="preserve">Показатели для кассового плана на текущий месяц по поступлениям </w:t>
      </w:r>
      <w:r w:rsidRPr="008262FC">
        <w:br/>
        <w:t xml:space="preserve">и перечислениям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(приложение № 10 к настоящему Порядку).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29. </w:t>
      </w:r>
      <w:proofErr w:type="gramStart"/>
      <w:r w:rsidRPr="008262FC"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месяц, сформированный на январь текущего финансового года.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30. </w:t>
      </w:r>
      <w:proofErr w:type="gramStart"/>
      <w:r w:rsidRPr="008262FC"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</w:t>
      </w:r>
      <w:r w:rsidRPr="008262FC">
        <w:lastRenderedPageBreak/>
        <w:t xml:space="preserve">главой сельского поселения,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</w:t>
      </w:r>
      <w:proofErr w:type="gramEnd"/>
      <w:r w:rsidRPr="008262FC">
        <w:t xml:space="preserve"> месяц (приложение № 10 к настоящему Порядку), сформированный на январь текущего финансового года.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31. </w:t>
      </w:r>
      <w:proofErr w:type="gramStart"/>
      <w:r w:rsidRPr="008262FC">
        <w:t xml:space="preserve">Прогноз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</w:t>
      </w:r>
      <w:proofErr w:type="gramEnd"/>
      <w:r w:rsidRPr="008262FC">
        <w:t xml:space="preserve"> не позднее третьего рабочего дня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proofErr w:type="gramStart"/>
      <w:r w:rsidRPr="008262FC"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(приложение № 10 к настоящему Порядку) по состоянию на первое число</w:t>
      </w:r>
      <w:proofErr w:type="gramEnd"/>
      <w:r w:rsidRPr="008262FC">
        <w:t xml:space="preserve">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32. </w:t>
      </w:r>
      <w:proofErr w:type="gramStart"/>
      <w:r w:rsidRPr="008262FC"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по закрепленным кодам формирует в период с февраля по декабрь текущего финансового года</w:t>
      </w:r>
      <w:r w:rsidRPr="008262FC">
        <w:tab/>
        <w:t xml:space="preserve">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8262FC">
          <w:t>прогноз</w:t>
        </w:r>
      </w:hyperlink>
      <w:r w:rsidRPr="008262FC">
        <w:t xml:space="preserve">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</w:t>
      </w:r>
      <w:proofErr w:type="gramEnd"/>
      <w:r w:rsidRPr="008262FC"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8262FC">
          <w:t xml:space="preserve">района </w:t>
        </w:r>
        <w:proofErr w:type="spellStart"/>
        <w:r w:rsidRPr="008262FC">
          <w:t>Балтачевский</w:t>
        </w:r>
      </w:smartTag>
      <w:proofErr w:type="spellEnd"/>
      <w:r w:rsidRPr="008262FC">
        <w:t xml:space="preserve"> район Республики Башкортостан на текущий месяц (приложение</w:t>
      </w:r>
      <w:r w:rsidRPr="008262FC">
        <w:tab/>
        <w:t>№10 к настоящему Порядку) по состоянию на первое число текущего месяца.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33. </w:t>
      </w:r>
      <w:proofErr w:type="gramStart"/>
      <w:r w:rsidRPr="008262FC"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proofErr w:type="spellStart"/>
      <w:r>
        <w:t>Сейтяковский</w:t>
      </w:r>
      <w:proofErr w:type="spellEnd"/>
      <w:r w:rsidRPr="008262FC">
        <w:t xml:space="preserve"> сельсовет муниципального района </w:t>
      </w:r>
      <w:proofErr w:type="spellStart"/>
      <w:r w:rsidRPr="008262FC">
        <w:t>Балтачевский</w:t>
      </w:r>
      <w:proofErr w:type="spellEnd"/>
      <w:r w:rsidRPr="008262FC">
        <w:t xml:space="preserve"> район Республики Башкортостан на текущий финансовый год (приложение № 9) по текущему месяцу.</w:t>
      </w:r>
      <w:proofErr w:type="gramEnd"/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  <w:outlineLvl w:val="1"/>
      </w:pPr>
      <w:r w:rsidRPr="008262FC"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center"/>
      </w:pP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lastRenderedPageBreak/>
        <w:t xml:space="preserve">34. Кассовый </w:t>
      </w:r>
      <w:hyperlink w:anchor="P693" w:history="1">
        <w:r w:rsidRPr="008262FC">
          <w:t>план</w:t>
        </w:r>
      </w:hyperlink>
      <w:r w:rsidRPr="008262FC">
        <w:t xml:space="preserve"> на текущий финансовый год составляется Администрацией сельского поселения (приложение № 1 к настоящему Порядку) не позднее пятнадцатого рабочего дня декабря текущего финансового года. 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Показатели кассового плана на текущий финансовый год подлежат согласованию соответствующими  отделами.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35. 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в соответствии с требованиями настоящего Порядка.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 xml:space="preserve">36. Кассовый </w:t>
      </w:r>
      <w:hyperlink w:anchor="P693" w:history="1">
        <w:r w:rsidRPr="008262FC">
          <w:t>план</w:t>
        </w:r>
      </w:hyperlink>
      <w:r w:rsidRPr="008262FC">
        <w:t xml:space="preserve"> на текущий месяц (приложение № 2 к настоящему Порядку) составляется Администрацией сельского поселения: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на январь текущего финансового года – не позднее пятнадцатого рабочего дня декабря текущего финансового года;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в период с февраля по декабрь текущего финансового года – ежемесячно не позднее пятого рабочего дня.</w:t>
      </w:r>
    </w:p>
    <w:p w:rsidR="00E00451" w:rsidRPr="008262FC" w:rsidRDefault="00E00451" w:rsidP="00E00451">
      <w:pPr>
        <w:widowControl w:val="0"/>
        <w:autoSpaceDE w:val="0"/>
        <w:autoSpaceDN w:val="0"/>
        <w:ind w:firstLine="709"/>
        <w:jc w:val="both"/>
      </w:pPr>
      <w:r w:rsidRPr="008262FC"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E00451" w:rsidRPr="008262FC" w:rsidRDefault="00E00451" w:rsidP="00E00451">
      <w:pPr>
        <w:pStyle w:val="ConsPlusNormal"/>
        <w:jc w:val="right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spacing w:line="276" w:lineRule="auto"/>
        <w:jc w:val="both"/>
      </w:pPr>
    </w:p>
    <w:p w:rsidR="00E00451" w:rsidRPr="008262FC" w:rsidRDefault="00E00451" w:rsidP="00E00451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</w:rPr>
      </w:pPr>
    </w:p>
    <w:p w:rsidR="00E00451" w:rsidRPr="008262FC" w:rsidRDefault="00E00451" w:rsidP="00E00451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</w:rPr>
        <w:sectPr w:rsidR="00E00451" w:rsidRPr="008262FC" w:rsidSect="00E00451">
          <w:headerReference w:type="even" r:id="rId8"/>
          <w:headerReference w:type="default" r:id="rId9"/>
          <w:pgSz w:w="11907" w:h="16840" w:code="9"/>
          <w:pgMar w:top="1134" w:right="850" w:bottom="1134" w:left="1134" w:header="591" w:footer="720" w:gutter="0"/>
          <w:cols w:space="720"/>
          <w:docGrid w:linePitch="272"/>
        </w:sect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E00451" w:rsidRPr="00537A60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537A60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00451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00451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00451" w:rsidRPr="00537A60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00451" w:rsidRPr="00537A60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00451" w:rsidRPr="00537A60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00451" w:rsidRPr="00537A60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район</w:t>
        </w:r>
      </w:smartTag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37A60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00451" w:rsidRPr="00537A60" w:rsidTr="00F450F0">
        <w:tc>
          <w:tcPr>
            <w:tcW w:w="218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0451" w:rsidRPr="00537A60" w:rsidTr="00F450F0">
        <w:tc>
          <w:tcPr>
            <w:tcW w:w="218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rPr>
          <w:trHeight w:val="356"/>
        </w:trPr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РБ - всего,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Default="00E00451" w:rsidP="00E00451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00451" w:rsidRPr="00537A60" w:rsidTr="00F450F0">
        <w:tc>
          <w:tcPr>
            <w:tcW w:w="218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- всего,</w:t>
            </w:r>
          </w:p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proofErr w:type="spellStart"/>
            <w:smartTag w:uri="urn:schemas-microsoft-com:office:smarttags" w:element="PersonName">
              <w:smartTagPr>
                <w:attr w:name="ProductID" w:val="БАЛТАЧЕВСКИЙ  РАЙОН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 район</w:t>
              </w:r>
            </w:smartTag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37A60" w:rsidTr="00F450F0">
        <w:tc>
          <w:tcPr>
            <w:tcW w:w="2189" w:type="dxa"/>
          </w:tcPr>
          <w:p w:rsidR="00E00451" w:rsidRPr="00537A60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Сейтяковский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E00451" w:rsidRPr="00B63BB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0500</w:t>
            </w:r>
          </w:p>
        </w:tc>
        <w:tc>
          <w:tcPr>
            <w:tcW w:w="73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37A60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007F7C" w:rsidRDefault="00E00451" w:rsidP="00E00451">
      <w:pPr>
        <w:rPr>
          <w:sz w:val="14"/>
          <w:szCs w:val="2"/>
        </w:rPr>
      </w:pPr>
      <w:r>
        <w:rPr>
          <w:sz w:val="14"/>
          <w:szCs w:val="2"/>
        </w:rPr>
        <w:lastRenderedPageBreak/>
        <w:t>»</w:t>
      </w: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</w:p>
    <w:p w:rsidR="00E00451" w:rsidRPr="00537A60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537A60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E00451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00451" w:rsidRDefault="00E00451" w:rsidP="00E0045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00451" w:rsidRPr="00537A60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smartTag w:uri="urn:schemas-microsoft-com:office:smarttags" w:element="PersonName">
        <w:smartTagPr>
          <w:attr w:name="ProductID" w:val="Балтачевский район"/>
        </w:smartTagPr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  <w:proofErr w:type="spellEnd"/>
        <w:r>
          <w:rPr>
            <w:rFonts w:ascii="Times New Roman" w:hAnsi="Times New Roman" w:cs="Times New Roman"/>
            <w:sz w:val="18"/>
            <w:szCs w:val="18"/>
          </w:rPr>
          <w:t xml:space="preserve"> район</w:t>
        </w:r>
      </w:smartTag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</w:t>
      </w:r>
    </w:p>
    <w:p w:rsidR="00E00451" w:rsidRDefault="00E00451" w:rsidP="00E00451">
      <w:pPr>
        <w:pStyle w:val="ConsPlusNonformat"/>
        <w:ind w:left="1560" w:hanging="1560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Башкортостан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37A60" w:rsidRDefault="00E00451" w:rsidP="00E00451">
      <w:pPr>
        <w:pStyle w:val="ConsPlusNonformat"/>
        <w:ind w:left="1560" w:hanging="15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БАШКОРТОСТАН</w:t>
      </w:r>
    </w:p>
    <w:p w:rsidR="00E00451" w:rsidRPr="00537A60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00451" w:rsidRPr="00757BB0" w:rsidTr="00F450F0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vMerge/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00451" w:rsidRPr="00757BB0" w:rsidTr="00F450F0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451" w:rsidRDefault="00E00451" w:rsidP="00E0045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00451" w:rsidRPr="00757BB0" w:rsidTr="00F450F0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sz w:val="18"/>
                <w:szCs w:val="18"/>
              </w:rPr>
              <w:t xml:space="preserve">сельское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Республики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расходам и </w:t>
            </w:r>
            <w:r w:rsidRPr="00757BB0">
              <w:rPr>
                <w:sz w:val="18"/>
                <w:szCs w:val="18"/>
              </w:rPr>
              <w:lastRenderedPageBreak/>
              <w:t>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451" w:rsidRDefault="00E00451" w:rsidP="00E00451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E00451" w:rsidRPr="00757BB0" w:rsidTr="00F450F0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proofErr w:type="spellStart"/>
            <w:smartTag w:uri="urn:schemas-microsoft-com:office:smarttags" w:element="PersonName">
              <w:smartTagPr>
                <w:attr w:name="ProductID" w:val="Балтачевский район"/>
              </w:smartTagPr>
              <w:r>
                <w:rPr>
                  <w:sz w:val="18"/>
                  <w:szCs w:val="18"/>
                </w:rPr>
                <w:t>Балтачевский</w:t>
              </w:r>
              <w:proofErr w:type="spellEnd"/>
              <w:r>
                <w:rPr>
                  <w:sz w:val="18"/>
                  <w:szCs w:val="18"/>
                </w:rPr>
                <w:t xml:space="preserve"> район</w:t>
              </w:r>
            </w:smartTag>
            <w:r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757BB0">
              <w:rPr>
                <w:sz w:val="18"/>
                <w:szCs w:val="18"/>
              </w:rPr>
              <w:t xml:space="preserve">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  <w:tr w:rsidR="00E00451" w:rsidRPr="00757BB0" w:rsidTr="00F450F0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0451" w:rsidRPr="00757BB0" w:rsidRDefault="00E00451" w:rsidP="00F450F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sz w:val="18"/>
                <w:szCs w:val="18"/>
              </w:rPr>
              <w:t>Сейтяковский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</w:t>
            </w:r>
            <w:smartTag w:uri="urn:schemas-microsoft-com:office:smarttags" w:element="PersonName">
              <w:smartTagPr>
                <w:attr w:name="ProductID" w:val="района Балтачевский"/>
              </w:smartTagPr>
              <w:r>
                <w:rPr>
                  <w:sz w:val="18"/>
                  <w:szCs w:val="18"/>
                </w:rPr>
                <w:t xml:space="preserve">района </w:t>
              </w:r>
              <w:proofErr w:type="spellStart"/>
              <w:r>
                <w:rPr>
                  <w:sz w:val="18"/>
                  <w:szCs w:val="18"/>
                </w:rPr>
                <w:t>Балтачевский</w:t>
              </w:r>
            </w:smartTag>
            <w:proofErr w:type="spellEnd"/>
            <w:r>
              <w:rPr>
                <w:sz w:val="18"/>
                <w:szCs w:val="18"/>
              </w:rPr>
              <w:t xml:space="preserve"> район 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AF5FD7" w:rsidRDefault="00E00451" w:rsidP="00F450F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0451" w:rsidRPr="00757BB0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00451" w:rsidRPr="0002173A" w:rsidRDefault="00E00451" w:rsidP="00E00451">
      <w:pPr>
        <w:rPr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ФИНАНСОВЫЙ ГОД 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>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00451" w:rsidRPr="0002173A" w:rsidTr="00F450F0">
        <w:tc>
          <w:tcPr>
            <w:tcW w:w="1055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0451" w:rsidRPr="0002173A" w:rsidTr="00F450F0">
        <w:tc>
          <w:tcPr>
            <w:tcW w:w="1055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00451" w:rsidRPr="0002173A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02173A" w:rsidTr="00F450F0">
        <w:tc>
          <w:tcPr>
            <w:tcW w:w="1055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02173A" w:rsidTr="00F450F0">
        <w:tc>
          <w:tcPr>
            <w:tcW w:w="1055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02173A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02173A" w:rsidRDefault="00E00451" w:rsidP="00E004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E00451" w:rsidRPr="00574455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00451" w:rsidRPr="00574455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E3132"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74455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rPr>
          <w:sz w:val="18"/>
          <w:szCs w:val="18"/>
        </w:rPr>
      </w:pPr>
    </w:p>
    <w:p w:rsidR="00E00451" w:rsidRPr="00574455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E00451" w:rsidRPr="00574455" w:rsidTr="00F450F0">
        <w:tc>
          <w:tcPr>
            <w:tcW w:w="1763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0451" w:rsidRPr="00574455" w:rsidTr="00F450F0">
        <w:tc>
          <w:tcPr>
            <w:tcW w:w="1763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74455" w:rsidTr="00F450F0">
        <w:tc>
          <w:tcPr>
            <w:tcW w:w="1763" w:type="dxa"/>
          </w:tcPr>
          <w:p w:rsidR="00E00451" w:rsidRPr="00574455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74455" w:rsidTr="00F450F0">
        <w:tc>
          <w:tcPr>
            <w:tcW w:w="1763" w:type="dxa"/>
          </w:tcPr>
          <w:p w:rsidR="00E00451" w:rsidRPr="00574455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74455" w:rsidTr="00F450F0">
        <w:tc>
          <w:tcPr>
            <w:tcW w:w="1763" w:type="dxa"/>
          </w:tcPr>
          <w:p w:rsidR="00E00451" w:rsidRPr="00574455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00451" w:rsidRPr="00574455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574455" w:rsidRDefault="00E00451" w:rsidP="00E004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02173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00451" w:rsidRPr="0002173A" w:rsidRDefault="00E00451" w:rsidP="00E00451">
      <w:pPr>
        <w:rPr>
          <w:sz w:val="18"/>
          <w:szCs w:val="18"/>
        </w:rPr>
      </w:pPr>
    </w:p>
    <w:p w:rsidR="00E00451" w:rsidRPr="0002173A" w:rsidRDefault="00E00451" w:rsidP="00E00451">
      <w:pPr>
        <w:rPr>
          <w:sz w:val="18"/>
          <w:szCs w:val="18"/>
        </w:rPr>
      </w:pPr>
    </w:p>
    <w:p w:rsidR="00E00451" w:rsidRPr="0002173A" w:rsidRDefault="00E00451" w:rsidP="00E00451">
      <w:pPr>
        <w:rPr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E00451" w:rsidRPr="00AF5557" w:rsidTr="00F450F0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E00451" w:rsidRPr="00AF5557" w:rsidTr="00F450F0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451" w:rsidRPr="00AF5557" w:rsidTr="00F450F0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E00451" w:rsidRPr="00AF5557" w:rsidTr="00F450F0">
        <w:trPr>
          <w:trHeight w:val="300"/>
        </w:trPr>
        <w:tc>
          <w:tcPr>
            <w:tcW w:w="1433" w:type="dxa"/>
            <w:shd w:val="clear" w:color="auto" w:fill="auto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451" w:rsidRPr="00AF5557" w:rsidTr="00F450F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0451" w:rsidRPr="00AF5557" w:rsidTr="00F450F0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E00451" w:rsidRPr="00AF5557" w:rsidRDefault="00E00451" w:rsidP="00F450F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00451" w:rsidRPr="0002173A" w:rsidRDefault="00E00451" w:rsidP="00E004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E00451" w:rsidRPr="0002173A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E00451" w:rsidRPr="00574455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E00451" w:rsidRPr="00574455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E3132">
        <w:rPr>
          <w:rFonts w:ascii="Times New Roman" w:hAnsi="Times New Roman" w:cs="Times New Roman"/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0451" w:rsidRPr="00574455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00451" w:rsidRPr="00574455" w:rsidRDefault="00E00451" w:rsidP="00E00451">
      <w:pPr>
        <w:rPr>
          <w:sz w:val="18"/>
          <w:szCs w:val="18"/>
        </w:rPr>
      </w:pPr>
    </w:p>
    <w:p w:rsidR="00E00451" w:rsidRPr="00574455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00451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 сельского поселения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E00451" w:rsidRPr="00DE3F01" w:rsidTr="00F450F0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E00451" w:rsidRPr="00DE3F01" w:rsidTr="00F450F0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00451" w:rsidRPr="00DE3F01" w:rsidTr="00F450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E00451" w:rsidRPr="00DE3F01" w:rsidTr="00F450F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51" w:rsidRPr="00DE3F01" w:rsidRDefault="00E00451" w:rsidP="00F450F0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451" w:rsidRPr="00DE3F01" w:rsidTr="00F450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51" w:rsidRPr="00DE3F01" w:rsidRDefault="00E00451" w:rsidP="00F450F0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00451" w:rsidRPr="00DE3F01" w:rsidTr="00F450F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451" w:rsidRPr="00DE3F01" w:rsidRDefault="00E00451" w:rsidP="00F450F0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451" w:rsidRPr="00DE3F01" w:rsidRDefault="00E00451" w:rsidP="00F450F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00451" w:rsidRPr="00874776" w:rsidRDefault="00E00451" w:rsidP="00E00451">
      <w:pPr>
        <w:rPr>
          <w:sz w:val="18"/>
          <w:szCs w:val="18"/>
        </w:rPr>
      </w:pPr>
    </w:p>
    <w:p w:rsidR="00E00451" w:rsidRPr="00874776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E53C8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00451" w:rsidRPr="00874776" w:rsidTr="00F450F0">
        <w:tc>
          <w:tcPr>
            <w:tcW w:w="133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0451" w:rsidRPr="00874776" w:rsidRDefault="00E00451" w:rsidP="00F450F0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0451" w:rsidRPr="00874776" w:rsidTr="00F450F0">
        <w:tc>
          <w:tcPr>
            <w:tcW w:w="133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00451" w:rsidRPr="0087477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874776" w:rsidTr="00F450F0">
        <w:tc>
          <w:tcPr>
            <w:tcW w:w="133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874776" w:rsidTr="00F450F0">
        <w:tc>
          <w:tcPr>
            <w:tcW w:w="133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00451" w:rsidRPr="00874776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874776" w:rsidRDefault="00E00451" w:rsidP="00E004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87477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874776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E00451" w:rsidRPr="00874776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распорядитель средств бюджета сельского поселения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E00451" w:rsidRPr="00C71778" w:rsidTr="00F450F0">
        <w:tc>
          <w:tcPr>
            <w:tcW w:w="2271" w:type="dxa"/>
            <w:vMerge w:val="restart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E00451" w:rsidRPr="00C71778" w:rsidTr="00F450F0">
        <w:tc>
          <w:tcPr>
            <w:tcW w:w="2271" w:type="dxa"/>
            <w:vMerge/>
          </w:tcPr>
          <w:p w:rsidR="00E00451" w:rsidRPr="00C71778" w:rsidRDefault="00E00451" w:rsidP="00F450F0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E00451" w:rsidRPr="00C71778" w:rsidRDefault="00E00451" w:rsidP="00F450F0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E00451" w:rsidRPr="00C71778" w:rsidRDefault="00E00451" w:rsidP="00F450F0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C71778" w:rsidTr="00F450F0">
        <w:trPr>
          <w:trHeight w:val="173"/>
        </w:trPr>
        <w:tc>
          <w:tcPr>
            <w:tcW w:w="2271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E00451" w:rsidRPr="00C71778" w:rsidTr="00F450F0">
        <w:trPr>
          <w:trHeight w:val="193"/>
        </w:trPr>
        <w:tc>
          <w:tcPr>
            <w:tcW w:w="2271" w:type="dxa"/>
            <w:vAlign w:val="bottom"/>
          </w:tcPr>
          <w:p w:rsidR="00E00451" w:rsidRPr="00C71778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C71778" w:rsidTr="00F450F0">
        <w:trPr>
          <w:trHeight w:val="44"/>
        </w:trPr>
        <w:tc>
          <w:tcPr>
            <w:tcW w:w="2271" w:type="dxa"/>
            <w:vAlign w:val="bottom"/>
          </w:tcPr>
          <w:p w:rsidR="00E00451" w:rsidRPr="00C71778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C71778" w:rsidTr="00F450F0">
        <w:tc>
          <w:tcPr>
            <w:tcW w:w="2271" w:type="dxa"/>
            <w:vAlign w:val="center"/>
          </w:tcPr>
          <w:p w:rsidR="00E00451" w:rsidRPr="00C71778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E00451" w:rsidRPr="00C71778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874776" w:rsidRDefault="00E00451" w:rsidP="00E004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0451" w:rsidRPr="00874776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rPr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E00451" w:rsidRPr="00597252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597252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97252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99383D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99383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(соответствующий отраслевой от</w:t>
      </w:r>
      <w:r>
        <w:rPr>
          <w:rFonts w:ascii="Times New Roman" w:hAnsi="Times New Roman" w:cs="Times New Roman"/>
          <w:sz w:val="18"/>
          <w:szCs w:val="18"/>
        </w:rPr>
        <w:t xml:space="preserve">дел)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0451" w:rsidRPr="00597252" w:rsidTr="00F450F0">
        <w:tc>
          <w:tcPr>
            <w:tcW w:w="1338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00451" w:rsidRPr="00597252" w:rsidRDefault="00E00451" w:rsidP="00F450F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E00451" w:rsidRPr="00597252" w:rsidRDefault="00E00451" w:rsidP="00F450F0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00451" w:rsidRPr="00597252" w:rsidTr="00F450F0">
        <w:tc>
          <w:tcPr>
            <w:tcW w:w="1338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Default="00E00451" w:rsidP="00E00451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E00451" w:rsidRPr="00597252" w:rsidTr="00F450F0">
        <w:tc>
          <w:tcPr>
            <w:tcW w:w="1338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E00451" w:rsidRPr="00597252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451" w:rsidRPr="00597252" w:rsidTr="00F450F0">
        <w:tc>
          <w:tcPr>
            <w:tcW w:w="1338" w:type="dxa"/>
          </w:tcPr>
          <w:p w:rsidR="00E00451" w:rsidRPr="00597252" w:rsidRDefault="00E00451" w:rsidP="00F450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E00451" w:rsidRPr="00597252" w:rsidRDefault="00E00451" w:rsidP="00F450F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0451" w:rsidRPr="00597252" w:rsidRDefault="00E00451" w:rsidP="00E0045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00451" w:rsidRPr="00597252" w:rsidRDefault="00E00451" w:rsidP="00E00451">
      <w:pPr>
        <w:rPr>
          <w:sz w:val="18"/>
          <w:szCs w:val="18"/>
        </w:rPr>
      </w:pPr>
    </w:p>
    <w:p w:rsidR="00E00451" w:rsidRPr="00574455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574455" w:rsidRDefault="00E00451" w:rsidP="00E00451">
      <w:pPr>
        <w:rPr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10</w:t>
      </w:r>
    </w:p>
    <w:p w:rsidR="00E00451" w:rsidRPr="00597252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00451" w:rsidRPr="00597252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00451" w:rsidRPr="0002173A" w:rsidRDefault="00E00451" w:rsidP="00E0045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757BB0">
        <w:rPr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97252" w:rsidRDefault="00E00451" w:rsidP="00E00451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СЕЙТЯКОВСКИЙ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>РАЙОНА БАЛТАЧЕВСКИЙ</w:t>
        </w:r>
      </w:smartTag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00451" w:rsidRPr="00597252" w:rsidRDefault="00E00451" w:rsidP="00E0045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Сейтяковский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18"/>
            <w:szCs w:val="18"/>
          </w:rPr>
          <w:t xml:space="preserve">района </w:t>
        </w:r>
        <w:proofErr w:type="spellStart"/>
        <w:r>
          <w:rPr>
            <w:rFonts w:ascii="Times New Roman" w:hAnsi="Times New Roman" w:cs="Times New Roman"/>
            <w:sz w:val="18"/>
            <w:szCs w:val="18"/>
          </w:rPr>
          <w:t>Балтачевский</w:t>
        </w:r>
      </w:smartTag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9383D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E00451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E00451" w:rsidRPr="006E741B" w:rsidTr="00F450F0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E00451" w:rsidRPr="006E741B" w:rsidTr="00F450F0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6E741B" w:rsidRDefault="00E00451" w:rsidP="00F450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E00451" w:rsidRPr="006E741B" w:rsidTr="00F450F0">
        <w:trPr>
          <w:trHeight w:val="25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rPr>
          <w:trHeight w:val="9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0451" w:rsidRPr="006E741B" w:rsidTr="00F450F0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51" w:rsidRPr="00CA3986" w:rsidRDefault="00E00451" w:rsidP="00F450F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A398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51" w:rsidRPr="00CA3986" w:rsidRDefault="00E00451" w:rsidP="00F450F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E00451" w:rsidRPr="00CA3986" w:rsidRDefault="00E00451" w:rsidP="00E004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3986">
        <w:rPr>
          <w:rFonts w:ascii="Times New Roman" w:hAnsi="Times New Roman" w:cs="Times New Roman"/>
          <w:sz w:val="16"/>
          <w:szCs w:val="16"/>
        </w:rPr>
        <w:t>Руководитель             _____________   ___________________________________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3986">
        <w:rPr>
          <w:rFonts w:ascii="Times New Roman" w:hAnsi="Times New Roman" w:cs="Times New Roman"/>
          <w:sz w:val="16"/>
          <w:szCs w:val="16"/>
        </w:rPr>
        <w:t>(Начальник отдела</w:t>
      </w:r>
      <w:r w:rsidRPr="00597252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CA3986">
        <w:rPr>
          <w:rFonts w:ascii="Times New Roman" w:hAnsi="Times New Roman" w:cs="Times New Roman"/>
          <w:sz w:val="12"/>
          <w:szCs w:val="12"/>
        </w:rPr>
        <w:t>(подпись)                   (расшифровка подписи)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3986">
        <w:rPr>
          <w:rFonts w:ascii="Times New Roman" w:hAnsi="Times New Roman" w:cs="Times New Roman"/>
          <w:sz w:val="16"/>
          <w:szCs w:val="16"/>
        </w:rPr>
        <w:t>Исполнитель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_____________ ____________ ______________________ ___________</w:t>
      </w:r>
    </w:p>
    <w:p w:rsidR="00E00451" w:rsidRPr="00CA3986" w:rsidRDefault="00E00451" w:rsidP="00E00451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</w:t>
      </w:r>
      <w:r w:rsidRPr="00CA3986">
        <w:rPr>
          <w:rFonts w:ascii="Times New Roman" w:hAnsi="Times New Roman" w:cs="Times New Roman"/>
          <w:sz w:val="14"/>
          <w:szCs w:val="14"/>
        </w:rPr>
        <w:t xml:space="preserve">(должность)        (подпись)  </w:t>
      </w:r>
      <w:r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CA3986">
        <w:rPr>
          <w:rFonts w:ascii="Times New Roman" w:hAnsi="Times New Roman" w:cs="Times New Roman"/>
          <w:sz w:val="14"/>
          <w:szCs w:val="14"/>
        </w:rPr>
        <w:t xml:space="preserve">    (расшифровка подписи)    (телефон)</w:t>
      </w:r>
    </w:p>
    <w:p w:rsidR="00E00451" w:rsidRPr="00597252" w:rsidRDefault="00E00451" w:rsidP="00E004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00451" w:rsidRPr="002F125C" w:rsidRDefault="00E00451" w:rsidP="00E00451">
      <w:pPr>
        <w:pStyle w:val="ConsPlusNonformat"/>
        <w:jc w:val="both"/>
      </w:pPr>
      <w:r w:rsidRPr="00CA3986">
        <w:rPr>
          <w:rFonts w:ascii="Times New Roman" w:hAnsi="Times New Roman" w:cs="Times New Roman"/>
          <w:sz w:val="14"/>
          <w:szCs w:val="14"/>
        </w:rPr>
        <w:t>"_____" __________________ 20___ г.»</w:t>
      </w:r>
    </w:p>
    <w:p w:rsidR="00E00451" w:rsidRPr="002F125C" w:rsidRDefault="00E00451" w:rsidP="00E00451">
      <w:pPr>
        <w:tabs>
          <w:tab w:val="left" w:pos="2228"/>
        </w:tabs>
        <w:sectPr w:rsidR="00E00451" w:rsidRPr="002F125C" w:rsidSect="00FA7642">
          <w:pgSz w:w="16840" w:h="11907" w:orient="landscape" w:code="9"/>
          <w:pgMar w:top="851" w:right="567" w:bottom="426" w:left="851" w:header="590" w:footer="720" w:gutter="0"/>
          <w:cols w:space="720"/>
          <w:docGrid w:linePitch="272"/>
        </w:sectPr>
      </w:pPr>
    </w:p>
    <w:p w:rsidR="00E00451" w:rsidRDefault="00E00451" w:rsidP="00E004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0451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463" w:rsidRDefault="00B33463" w:rsidP="00472C7C">
      <w:r>
        <w:separator/>
      </w:r>
    </w:p>
  </w:endnote>
  <w:endnote w:type="continuationSeparator" w:id="0">
    <w:p w:rsidR="00B33463" w:rsidRDefault="00B33463" w:rsidP="0047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463" w:rsidRDefault="00B33463" w:rsidP="00472C7C">
      <w:r>
        <w:separator/>
      </w:r>
    </w:p>
  </w:footnote>
  <w:footnote w:type="continuationSeparator" w:id="0">
    <w:p w:rsidR="00B33463" w:rsidRDefault="00B33463" w:rsidP="0047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5A" w:rsidRDefault="00EF0A8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0045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8685A" w:rsidRDefault="00B3346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5A" w:rsidRPr="004B71E3" w:rsidRDefault="00B33463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451"/>
    <w:rsid w:val="00472C7C"/>
    <w:rsid w:val="004A3110"/>
    <w:rsid w:val="005C51DE"/>
    <w:rsid w:val="006602C3"/>
    <w:rsid w:val="00A54F12"/>
    <w:rsid w:val="00B33463"/>
    <w:rsid w:val="00B877A3"/>
    <w:rsid w:val="00BB5810"/>
    <w:rsid w:val="00BE206A"/>
    <w:rsid w:val="00BF577D"/>
    <w:rsid w:val="00D847E0"/>
    <w:rsid w:val="00D92FE9"/>
    <w:rsid w:val="00E00451"/>
    <w:rsid w:val="00EF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04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045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0"/>
    <w:next w:val="a0"/>
    <w:link w:val="20"/>
    <w:qFormat/>
    <w:rsid w:val="00E00451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E00451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E00451"/>
    <w:pPr>
      <w:keepNext/>
      <w:outlineLvl w:val="3"/>
    </w:pPr>
    <w:rPr>
      <w:b/>
      <w:szCs w:val="20"/>
    </w:rPr>
  </w:style>
  <w:style w:type="paragraph" w:styleId="5">
    <w:name w:val="heading 5"/>
    <w:basedOn w:val="a0"/>
    <w:next w:val="a0"/>
    <w:link w:val="50"/>
    <w:qFormat/>
    <w:rsid w:val="00E00451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E00451"/>
    <w:pPr>
      <w:keepNext/>
      <w:ind w:left="720" w:firstLine="720"/>
      <w:jc w:val="both"/>
      <w:outlineLvl w:val="5"/>
    </w:pPr>
    <w:rPr>
      <w:b/>
      <w:szCs w:val="20"/>
    </w:rPr>
  </w:style>
  <w:style w:type="paragraph" w:styleId="7">
    <w:name w:val="heading 7"/>
    <w:basedOn w:val="a0"/>
    <w:next w:val="a0"/>
    <w:link w:val="70"/>
    <w:qFormat/>
    <w:rsid w:val="00E00451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E00451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0451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4">
    <w:name w:val="header"/>
    <w:basedOn w:val="a0"/>
    <w:link w:val="a5"/>
    <w:rsid w:val="00E004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E004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0"/>
    <w:link w:val="a7"/>
    <w:rsid w:val="00E00451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7">
    <w:name w:val="Основной текст Знак"/>
    <w:basedOn w:val="a1"/>
    <w:link w:val="a6"/>
    <w:rsid w:val="00E00451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8">
    <w:name w:val="Balloon Text"/>
    <w:basedOn w:val="a0"/>
    <w:link w:val="a9"/>
    <w:semiHidden/>
    <w:unhideWhenUsed/>
    <w:rsid w:val="00E004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E004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E00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00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0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00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004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0"/>
    <w:qFormat/>
    <w:rsid w:val="00E00451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b">
    <w:name w:val="Body Text Indent"/>
    <w:basedOn w:val="a0"/>
    <w:link w:val="ac"/>
    <w:rsid w:val="00E00451"/>
    <w:pPr>
      <w:ind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1"/>
    <w:link w:val="ab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E00451"/>
    <w:pPr>
      <w:ind w:firstLine="720"/>
      <w:jc w:val="both"/>
    </w:pPr>
    <w:rPr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E0045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3">
    <w:name w:val="Body Text 2"/>
    <w:basedOn w:val="a0"/>
    <w:link w:val="24"/>
    <w:rsid w:val="00E00451"/>
    <w:pPr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rsid w:val="00E00451"/>
    <w:rPr>
      <w:color w:val="0000FF"/>
      <w:u w:val="single"/>
    </w:rPr>
  </w:style>
  <w:style w:type="paragraph" w:styleId="31">
    <w:name w:val="Body Text 3"/>
    <w:basedOn w:val="a0"/>
    <w:link w:val="32"/>
    <w:rsid w:val="00E00451"/>
    <w:rPr>
      <w:szCs w:val="20"/>
    </w:rPr>
  </w:style>
  <w:style w:type="character" w:customStyle="1" w:styleId="32">
    <w:name w:val="Основной текст 3 Знак"/>
    <w:basedOn w:val="a1"/>
    <w:link w:val="31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E00451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1"/>
    <w:rsid w:val="00E00451"/>
  </w:style>
  <w:style w:type="paragraph" w:styleId="af">
    <w:name w:val="Title"/>
    <w:basedOn w:val="a0"/>
    <w:link w:val="af0"/>
    <w:qFormat/>
    <w:rsid w:val="00E00451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E004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rsid w:val="00E004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E004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E00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E0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rsid w:val="00E00451"/>
    <w:pPr>
      <w:spacing w:before="100" w:beforeAutospacing="1" w:after="100" w:afterAutospacing="1"/>
    </w:pPr>
    <w:rPr>
      <w:sz w:val="24"/>
    </w:rPr>
  </w:style>
  <w:style w:type="character" w:styleId="af6">
    <w:name w:val="Strong"/>
    <w:qFormat/>
    <w:rsid w:val="00E00451"/>
    <w:rPr>
      <w:b/>
      <w:bCs/>
    </w:rPr>
  </w:style>
  <w:style w:type="paragraph" w:customStyle="1" w:styleId="11">
    <w:name w:val="Знак1 Знак Знак Знак"/>
    <w:basedOn w:val="a0"/>
    <w:rsid w:val="00E00451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E004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rsid w:val="00E00451"/>
    <w:rPr>
      <w:color w:val="800080"/>
      <w:u w:val="single"/>
    </w:rPr>
  </w:style>
  <w:style w:type="paragraph" w:customStyle="1" w:styleId="Default">
    <w:name w:val="Default"/>
    <w:rsid w:val="00E00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E00451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E00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0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0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0"/>
    <w:uiPriority w:val="34"/>
    <w:qFormat/>
    <w:rsid w:val="00E00451"/>
    <w:pPr>
      <w:spacing w:line="360" w:lineRule="auto"/>
      <w:ind w:left="720" w:firstLine="709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8905</Words>
  <Characters>50759</Characters>
  <Application>Microsoft Office Word</Application>
  <DocSecurity>0</DocSecurity>
  <Lines>422</Lines>
  <Paragraphs>119</Paragraphs>
  <ScaleCrop>false</ScaleCrop>
  <Company/>
  <LinksUpToDate>false</LinksUpToDate>
  <CharactersWithSpaces>59545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2021-03-02T05:57:00Z</dcterms:created>
  <dcterms:modified xsi:type="dcterms:W3CDTF">2021-03-02T06:11:00Z</dcterms:modified>
</cp:coreProperties>
</file>