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6"/>
        <w:tblW w:w="9767" w:type="dxa"/>
        <w:tblBorders>
          <w:top w:val="single" w:sz="6" w:space="0" w:color="auto"/>
          <w:left w:val="single" w:sz="6" w:space="0" w:color="auto"/>
          <w:bottom w:val="single" w:sz="6" w:space="0" w:color="auto"/>
          <w:right w:val="single" w:sz="6" w:space="0" w:color="auto"/>
        </w:tblBorders>
        <w:tblLayout w:type="fixed"/>
        <w:tblLook w:val="0000"/>
      </w:tblPr>
      <w:tblGrid>
        <w:gridCol w:w="4079"/>
        <w:gridCol w:w="1561"/>
        <w:gridCol w:w="4127"/>
      </w:tblGrid>
      <w:tr w:rsidR="003A0BC3" w:rsidRPr="009B352F" w:rsidTr="00A2784B">
        <w:trPr>
          <w:trHeight w:val="14"/>
        </w:trPr>
        <w:tc>
          <w:tcPr>
            <w:tcW w:w="4079" w:type="dxa"/>
            <w:vMerge w:val="restart"/>
            <w:tcBorders>
              <w:top w:val="nil"/>
              <w:left w:val="nil"/>
              <w:bottom w:val="double" w:sz="12" w:space="0" w:color="auto"/>
              <w:right w:val="nil"/>
            </w:tcBorders>
          </w:tcPr>
          <w:p w:rsidR="003A0BC3" w:rsidRPr="00557760" w:rsidRDefault="003A0BC3" w:rsidP="00A2784B">
            <w:pPr>
              <w:pStyle w:val="a3"/>
              <w:ind w:right="282"/>
              <w:jc w:val="both"/>
              <w:rPr>
                <w:rFonts w:ascii="Times New Roman" w:hAnsi="Times New Roman"/>
                <w:b w:val="0"/>
                <w:sz w:val="18"/>
                <w:szCs w:val="18"/>
              </w:rPr>
            </w:pPr>
          </w:p>
        </w:tc>
        <w:tc>
          <w:tcPr>
            <w:tcW w:w="1561" w:type="dxa"/>
            <w:tcBorders>
              <w:top w:val="nil"/>
              <w:left w:val="nil"/>
              <w:bottom w:val="nil"/>
              <w:right w:val="nil"/>
            </w:tcBorders>
          </w:tcPr>
          <w:p w:rsidR="003A0BC3" w:rsidRPr="00557760" w:rsidRDefault="003A0BC3" w:rsidP="00A2784B">
            <w:pPr>
              <w:widowControl w:val="0"/>
              <w:autoSpaceDE w:val="0"/>
              <w:autoSpaceDN w:val="0"/>
              <w:adjustRightInd w:val="0"/>
              <w:ind w:left="-266" w:right="181"/>
              <w:jc w:val="right"/>
              <w:rPr>
                <w:b/>
                <w:sz w:val="18"/>
                <w:szCs w:val="18"/>
              </w:rPr>
            </w:pPr>
          </w:p>
        </w:tc>
        <w:tc>
          <w:tcPr>
            <w:tcW w:w="4127" w:type="dxa"/>
            <w:vMerge w:val="restart"/>
            <w:tcBorders>
              <w:top w:val="nil"/>
              <w:left w:val="nil"/>
              <w:bottom w:val="double" w:sz="12" w:space="0" w:color="auto"/>
              <w:right w:val="nil"/>
            </w:tcBorders>
          </w:tcPr>
          <w:p w:rsidR="003A0BC3" w:rsidRPr="00557760" w:rsidRDefault="003A0BC3" w:rsidP="00A2784B">
            <w:pPr>
              <w:ind w:right="282" w:firstLine="708"/>
              <w:jc w:val="both"/>
              <w:rPr>
                <w:b/>
                <w:sz w:val="18"/>
                <w:szCs w:val="18"/>
                <w:lang w:val="be-BY"/>
              </w:rPr>
            </w:pPr>
          </w:p>
        </w:tc>
      </w:tr>
      <w:tr w:rsidR="003A0BC3" w:rsidRPr="009B352F" w:rsidTr="00A2784B">
        <w:trPr>
          <w:trHeight w:val="405"/>
        </w:trPr>
        <w:tc>
          <w:tcPr>
            <w:tcW w:w="4079" w:type="dxa"/>
            <w:vMerge/>
            <w:tcBorders>
              <w:top w:val="nil"/>
              <w:left w:val="nil"/>
              <w:bottom w:val="nil"/>
              <w:right w:val="nil"/>
            </w:tcBorders>
            <w:vAlign w:val="center"/>
          </w:tcPr>
          <w:p w:rsidR="003A0BC3" w:rsidRPr="009B352F" w:rsidRDefault="003A0BC3" w:rsidP="00A2784B">
            <w:pPr>
              <w:ind w:right="282"/>
              <w:jc w:val="both"/>
              <w:rPr>
                <w:b/>
                <w:lang w:val="be-BY"/>
              </w:rPr>
            </w:pPr>
          </w:p>
        </w:tc>
        <w:tc>
          <w:tcPr>
            <w:tcW w:w="1561" w:type="dxa"/>
            <w:tcBorders>
              <w:top w:val="nil"/>
              <w:left w:val="nil"/>
              <w:bottom w:val="nil"/>
              <w:right w:val="nil"/>
            </w:tcBorders>
          </w:tcPr>
          <w:p w:rsidR="003A0BC3" w:rsidRPr="009B352F" w:rsidRDefault="003A0BC3" w:rsidP="00A2784B">
            <w:pPr>
              <w:widowControl w:val="0"/>
              <w:autoSpaceDE w:val="0"/>
              <w:autoSpaceDN w:val="0"/>
              <w:adjustRightInd w:val="0"/>
              <w:ind w:right="282"/>
              <w:jc w:val="both"/>
              <w:rPr>
                <w:b/>
                <w:lang w:val="be-BY"/>
              </w:rPr>
            </w:pPr>
          </w:p>
        </w:tc>
        <w:tc>
          <w:tcPr>
            <w:tcW w:w="4127" w:type="dxa"/>
            <w:vMerge/>
            <w:tcBorders>
              <w:top w:val="nil"/>
              <w:left w:val="nil"/>
              <w:bottom w:val="nil"/>
              <w:right w:val="nil"/>
            </w:tcBorders>
            <w:vAlign w:val="center"/>
          </w:tcPr>
          <w:p w:rsidR="003A0BC3" w:rsidRPr="009B352F" w:rsidRDefault="003A0BC3" w:rsidP="00A2784B">
            <w:pPr>
              <w:ind w:right="282"/>
              <w:jc w:val="both"/>
              <w:rPr>
                <w:b/>
                <w:caps/>
                <w:lang w:val="be-BY"/>
              </w:rPr>
            </w:pPr>
          </w:p>
        </w:tc>
      </w:tr>
    </w:tbl>
    <w:p w:rsidR="003A0BC3" w:rsidRDefault="003A0BC3" w:rsidP="003A0BC3"/>
    <w:p w:rsidR="003A0BC3" w:rsidRDefault="003A0BC3" w:rsidP="003A0BC3">
      <w:pPr>
        <w:rPr>
          <w:b/>
        </w:rPr>
      </w:pPr>
    </w:p>
    <w:p w:rsidR="003A0BC3" w:rsidRDefault="003A0BC3" w:rsidP="003A0BC3"/>
    <w:p w:rsidR="003A0BC3" w:rsidRDefault="003A0BC3" w:rsidP="003A0BC3"/>
    <w:p w:rsidR="00BB61A7" w:rsidRDefault="00BB61A7" w:rsidP="00BB61A7">
      <w:pPr>
        <w:rPr>
          <w:sz w:val="16"/>
          <w:szCs w:val="16"/>
        </w:rPr>
      </w:pPr>
    </w:p>
    <w:p w:rsidR="00BB61A7" w:rsidRDefault="00BB61A7" w:rsidP="00BB61A7">
      <w:pPr>
        <w:rPr>
          <w:rFonts w:ascii="Bookman Old Style" w:hAnsi="Bookman Old Style"/>
          <w:sz w:val="16"/>
          <w:szCs w:val="16"/>
        </w:rPr>
      </w:pPr>
    </w:p>
    <w:tbl>
      <w:tblPr>
        <w:tblpPr w:leftFromText="180" w:rightFromText="180" w:vertAnchor="text" w:horzAnchor="margin" w:tblpY="-738"/>
        <w:tblW w:w="9768" w:type="dxa"/>
        <w:tblBorders>
          <w:top w:val="single" w:sz="6" w:space="0" w:color="auto"/>
          <w:left w:val="single" w:sz="6" w:space="0" w:color="auto"/>
          <w:bottom w:val="single" w:sz="6" w:space="0" w:color="auto"/>
          <w:right w:val="single" w:sz="6" w:space="0" w:color="auto"/>
        </w:tblBorders>
        <w:tblLayout w:type="fixed"/>
        <w:tblLook w:val="04A0"/>
      </w:tblPr>
      <w:tblGrid>
        <w:gridCol w:w="4079"/>
        <w:gridCol w:w="1561"/>
        <w:gridCol w:w="4128"/>
      </w:tblGrid>
      <w:tr w:rsidR="00BB61A7" w:rsidTr="00BB61A7">
        <w:trPr>
          <w:trHeight w:val="1703"/>
        </w:trPr>
        <w:tc>
          <w:tcPr>
            <w:tcW w:w="4077" w:type="dxa"/>
            <w:tcBorders>
              <w:top w:val="nil"/>
              <w:left w:val="nil"/>
              <w:bottom w:val="double" w:sz="12" w:space="0" w:color="auto"/>
              <w:right w:val="nil"/>
            </w:tcBorders>
            <w:hideMark/>
          </w:tcPr>
          <w:p w:rsidR="00BB61A7" w:rsidRDefault="00BB61A7">
            <w:pPr>
              <w:ind w:left="-540" w:right="282"/>
              <w:jc w:val="both"/>
              <w:rPr>
                <w:b/>
                <w:sz w:val="18"/>
                <w:szCs w:val="18"/>
                <w:lang w:val="be-BY"/>
              </w:rPr>
            </w:pPr>
            <w:r>
              <w:rPr>
                <w:b/>
                <w:sz w:val="18"/>
                <w:szCs w:val="18"/>
                <w:lang w:val="be-BY"/>
              </w:rPr>
              <w:t xml:space="preserve">           БАШКОРТОСТАН  РЕСПУБЛИКАҺЫ</w:t>
            </w:r>
          </w:p>
          <w:p w:rsidR="00BB61A7" w:rsidRDefault="00BB61A7">
            <w:pPr>
              <w:pStyle w:val="a3"/>
              <w:ind w:right="282"/>
              <w:jc w:val="both"/>
              <w:rPr>
                <w:rFonts w:ascii="Times New Roman" w:hAnsi="Times New Roman"/>
                <w:b w:val="0"/>
                <w:sz w:val="18"/>
                <w:szCs w:val="18"/>
              </w:rPr>
            </w:pPr>
            <w:r>
              <w:rPr>
                <w:rFonts w:ascii="Times New Roman" w:hAnsi="Times New Roman"/>
                <w:sz w:val="18"/>
                <w:szCs w:val="18"/>
              </w:rPr>
              <w:t>БАЛТАС  РАЙОНЫ</w:t>
            </w:r>
          </w:p>
          <w:p w:rsidR="00BB61A7" w:rsidRDefault="00BB61A7">
            <w:pPr>
              <w:pStyle w:val="a3"/>
              <w:ind w:right="282"/>
              <w:jc w:val="both"/>
              <w:rPr>
                <w:rFonts w:ascii="Times New Roman" w:hAnsi="Times New Roman"/>
                <w:b w:val="0"/>
                <w:sz w:val="18"/>
                <w:szCs w:val="18"/>
              </w:rPr>
            </w:pPr>
            <w:r>
              <w:rPr>
                <w:rFonts w:ascii="Times New Roman" w:hAnsi="Times New Roman"/>
                <w:sz w:val="18"/>
                <w:szCs w:val="18"/>
              </w:rPr>
              <w:t>МУНИЦИПАЛЬ  РАЙОНЫНЫҢ</w:t>
            </w:r>
          </w:p>
          <w:p w:rsidR="00BB61A7" w:rsidRDefault="00BB61A7">
            <w:pPr>
              <w:pStyle w:val="a3"/>
              <w:ind w:right="282"/>
              <w:jc w:val="both"/>
              <w:rPr>
                <w:rFonts w:ascii="Times New Roman" w:hAnsi="Times New Roman"/>
                <w:b w:val="0"/>
                <w:sz w:val="18"/>
                <w:szCs w:val="18"/>
              </w:rPr>
            </w:pPr>
            <w:r>
              <w:rPr>
                <w:rFonts w:ascii="Times New Roman" w:hAnsi="Times New Roman"/>
                <w:sz w:val="18"/>
                <w:szCs w:val="18"/>
              </w:rPr>
              <w:t>ҺӘЙТӘК  АУЫЛ СОВЕТЫ</w:t>
            </w:r>
          </w:p>
          <w:p w:rsidR="00BB61A7" w:rsidRDefault="00BB61A7">
            <w:pPr>
              <w:pStyle w:val="a3"/>
              <w:ind w:right="282"/>
              <w:jc w:val="both"/>
              <w:rPr>
                <w:rFonts w:ascii="Times New Roman" w:hAnsi="Times New Roman"/>
                <w:b w:val="0"/>
                <w:sz w:val="18"/>
                <w:szCs w:val="18"/>
              </w:rPr>
            </w:pPr>
            <w:r>
              <w:rPr>
                <w:rFonts w:ascii="Times New Roman" w:hAnsi="Times New Roman"/>
                <w:sz w:val="18"/>
                <w:szCs w:val="18"/>
              </w:rPr>
              <w:t>АУЫЛ  БИЛӘМӘҺЕ  СОВЕТЫ</w:t>
            </w:r>
          </w:p>
          <w:p w:rsidR="00BB61A7" w:rsidRDefault="0071413D">
            <w:pPr>
              <w:pStyle w:val="a3"/>
              <w:ind w:right="282"/>
              <w:jc w:val="both"/>
              <w:rPr>
                <w:rFonts w:ascii="Times New Roman" w:hAnsi="Times New Roman"/>
                <w:b w:val="0"/>
                <w:sz w:val="18"/>
                <w:szCs w:val="18"/>
                <w:lang w:val="ru-RU"/>
              </w:rPr>
            </w:pPr>
            <w:r w:rsidRPr="0071413D">
              <w:pict>
                <v:line id="Line 2" o:spid="_x0000_s1027" style="position:absolute;left:0;text-align:left;flip:y;z-index:251662336;visibility:visible" from="27.85pt,64.05pt" to="488.65pt,64.05pt" strokeweight="4.5pt">
                  <v:stroke linestyle="thickThin"/>
                </v:line>
              </w:pict>
            </w:r>
            <w:r w:rsidR="00BB61A7">
              <w:rPr>
                <w:rFonts w:ascii="Times New Roman" w:hAnsi="Times New Roman"/>
                <w:sz w:val="18"/>
                <w:szCs w:val="18"/>
              </w:rPr>
              <w:t xml:space="preserve"> </w:t>
            </w:r>
          </w:p>
        </w:tc>
        <w:tc>
          <w:tcPr>
            <w:tcW w:w="1560" w:type="dxa"/>
            <w:tcBorders>
              <w:top w:val="nil"/>
              <w:left w:val="nil"/>
              <w:bottom w:val="nil"/>
              <w:right w:val="nil"/>
            </w:tcBorders>
            <w:hideMark/>
          </w:tcPr>
          <w:p w:rsidR="00BB61A7" w:rsidRDefault="00BB61A7">
            <w:pPr>
              <w:widowControl w:val="0"/>
              <w:autoSpaceDE w:val="0"/>
              <w:autoSpaceDN w:val="0"/>
              <w:adjustRightInd w:val="0"/>
              <w:ind w:left="-266" w:right="181"/>
              <w:jc w:val="right"/>
              <w:rPr>
                <w:b/>
                <w:sz w:val="18"/>
                <w:szCs w:val="18"/>
              </w:rPr>
            </w:pPr>
            <w:r>
              <w:rPr>
                <w:b/>
                <w:noProof/>
                <w:sz w:val="18"/>
                <w:szCs w:val="18"/>
              </w:rPr>
              <w:drawing>
                <wp:inline distT="0" distB="0" distL="0" distR="0">
                  <wp:extent cx="718185" cy="832485"/>
                  <wp:effectExtent l="19050" t="0" r="5715" b="0"/>
                  <wp:docPr id="1" name="Рисунок 1" descr="Описание: Описание: 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038"/>
                          <pic:cNvPicPr>
                            <a:picLocks noChangeAspect="1" noChangeArrowheads="1"/>
                          </pic:cNvPicPr>
                        </pic:nvPicPr>
                        <pic:blipFill>
                          <a:blip r:embed="rId4" cstate="print"/>
                          <a:srcRect/>
                          <a:stretch>
                            <a:fillRect/>
                          </a:stretch>
                        </pic:blipFill>
                        <pic:spPr bwMode="auto">
                          <a:xfrm>
                            <a:off x="0" y="0"/>
                            <a:ext cx="718185" cy="832485"/>
                          </a:xfrm>
                          <a:prstGeom prst="rect">
                            <a:avLst/>
                          </a:prstGeom>
                          <a:noFill/>
                          <a:ln w="9525">
                            <a:noFill/>
                            <a:miter lim="800000"/>
                            <a:headEnd/>
                            <a:tailEnd/>
                          </a:ln>
                        </pic:spPr>
                      </pic:pic>
                    </a:graphicData>
                  </a:graphic>
                </wp:inline>
              </w:drawing>
            </w:r>
          </w:p>
        </w:tc>
        <w:tc>
          <w:tcPr>
            <w:tcW w:w="4126" w:type="dxa"/>
            <w:tcBorders>
              <w:top w:val="nil"/>
              <w:left w:val="nil"/>
              <w:bottom w:val="double" w:sz="12" w:space="0" w:color="auto"/>
              <w:right w:val="nil"/>
            </w:tcBorders>
          </w:tcPr>
          <w:p w:rsidR="00BB61A7" w:rsidRDefault="00BB61A7">
            <w:pPr>
              <w:pStyle w:val="1"/>
              <w:ind w:right="282"/>
              <w:jc w:val="both"/>
              <w:rPr>
                <w:rFonts w:ascii="Times New Roman" w:eastAsiaTheme="minorEastAsia" w:hAnsi="Times New Roman"/>
                <w:sz w:val="18"/>
                <w:szCs w:val="18"/>
              </w:rPr>
            </w:pPr>
            <w:r>
              <w:rPr>
                <w:rFonts w:ascii="Times New Roman" w:eastAsiaTheme="minorEastAsia" w:hAnsi="Times New Roman"/>
                <w:sz w:val="18"/>
                <w:szCs w:val="18"/>
                <w:lang w:val="ru-RU"/>
              </w:rPr>
              <w:t xml:space="preserve">         </w:t>
            </w:r>
            <w:r>
              <w:rPr>
                <w:rFonts w:ascii="Times New Roman" w:eastAsiaTheme="minorEastAsia" w:hAnsi="Times New Roman"/>
                <w:sz w:val="18"/>
                <w:szCs w:val="18"/>
              </w:rPr>
              <w:t>СОВЕТ</w:t>
            </w:r>
            <w:r>
              <w:rPr>
                <w:rFonts w:ascii="Times New Roman" w:eastAsiaTheme="minorEastAsia" w:hAnsi="Times New Roman"/>
                <w:sz w:val="18"/>
                <w:szCs w:val="18"/>
                <w:lang w:val="ru-RU"/>
              </w:rPr>
              <w:t xml:space="preserve"> </w:t>
            </w:r>
            <w:r>
              <w:rPr>
                <w:rFonts w:ascii="Times New Roman" w:eastAsiaTheme="minorEastAsia" w:hAnsi="Times New Roman"/>
                <w:sz w:val="18"/>
                <w:szCs w:val="18"/>
              </w:rPr>
              <w:t>СЕЛЬСКОГО  ПОСЕЛЕНИЯ</w:t>
            </w:r>
          </w:p>
          <w:p w:rsidR="00BB61A7" w:rsidRDefault="00BB61A7">
            <w:pPr>
              <w:pStyle w:val="1"/>
              <w:ind w:right="282"/>
              <w:jc w:val="both"/>
              <w:rPr>
                <w:rFonts w:ascii="Times New Roman" w:eastAsiaTheme="minorEastAsia" w:hAnsi="Times New Roman"/>
                <w:sz w:val="18"/>
                <w:szCs w:val="18"/>
              </w:rPr>
            </w:pPr>
            <w:r>
              <w:rPr>
                <w:rFonts w:ascii="Times New Roman" w:eastAsiaTheme="minorEastAsia" w:hAnsi="Times New Roman"/>
                <w:sz w:val="18"/>
                <w:szCs w:val="18"/>
                <w:lang w:val="ru-RU"/>
              </w:rPr>
              <w:t xml:space="preserve">         </w:t>
            </w:r>
            <w:r>
              <w:rPr>
                <w:rFonts w:ascii="Times New Roman" w:eastAsiaTheme="minorEastAsia" w:hAnsi="Times New Roman"/>
                <w:sz w:val="18"/>
                <w:szCs w:val="18"/>
              </w:rPr>
              <w:t>СЕЙТЯКОВСКИЙ  СЕЛЬСОВЕТ</w:t>
            </w:r>
          </w:p>
          <w:p w:rsidR="00BB61A7" w:rsidRDefault="00BB61A7">
            <w:pPr>
              <w:pStyle w:val="a3"/>
              <w:tabs>
                <w:tab w:val="left" w:pos="4166"/>
              </w:tabs>
              <w:ind w:right="282"/>
              <w:jc w:val="both"/>
              <w:rPr>
                <w:rFonts w:ascii="Times New Roman" w:hAnsi="Times New Roman"/>
                <w:b w:val="0"/>
                <w:sz w:val="18"/>
                <w:szCs w:val="18"/>
              </w:rPr>
            </w:pPr>
            <w:r>
              <w:rPr>
                <w:rFonts w:ascii="Times New Roman" w:hAnsi="Times New Roman"/>
                <w:sz w:val="18"/>
                <w:szCs w:val="18"/>
              </w:rPr>
              <w:t xml:space="preserve">         МУНИЦИПАЛЬНОГО   РАЙОНА</w:t>
            </w:r>
          </w:p>
          <w:p w:rsidR="00BB61A7" w:rsidRDefault="00BB61A7">
            <w:pPr>
              <w:pStyle w:val="a3"/>
              <w:tabs>
                <w:tab w:val="left" w:pos="4166"/>
              </w:tabs>
              <w:ind w:left="233" w:right="282" w:hanging="63"/>
              <w:jc w:val="both"/>
              <w:rPr>
                <w:rFonts w:ascii="Times New Roman" w:hAnsi="Times New Roman"/>
                <w:b w:val="0"/>
                <w:sz w:val="18"/>
                <w:szCs w:val="18"/>
              </w:rPr>
            </w:pPr>
            <w:r>
              <w:rPr>
                <w:rFonts w:ascii="Times New Roman" w:hAnsi="Times New Roman"/>
                <w:sz w:val="18"/>
                <w:szCs w:val="18"/>
                <w:lang w:val="ru-RU"/>
              </w:rPr>
              <w:t xml:space="preserve">      </w:t>
            </w:r>
            <w:r>
              <w:rPr>
                <w:rFonts w:ascii="Times New Roman" w:hAnsi="Times New Roman"/>
                <w:sz w:val="18"/>
                <w:szCs w:val="18"/>
              </w:rPr>
              <w:t>БАЛТАЧЕВСКИЙ  РАЙОН</w:t>
            </w:r>
          </w:p>
          <w:p w:rsidR="00BB61A7" w:rsidRDefault="00BB61A7">
            <w:pPr>
              <w:pStyle w:val="a3"/>
              <w:tabs>
                <w:tab w:val="left" w:pos="4166"/>
              </w:tabs>
              <w:ind w:left="233" w:right="282" w:firstLine="229"/>
              <w:jc w:val="both"/>
              <w:rPr>
                <w:rFonts w:ascii="Times New Roman" w:hAnsi="Times New Roman"/>
                <w:b w:val="0"/>
                <w:sz w:val="18"/>
                <w:szCs w:val="18"/>
              </w:rPr>
            </w:pPr>
            <w:r>
              <w:rPr>
                <w:rFonts w:ascii="Times New Roman" w:hAnsi="Times New Roman"/>
                <w:sz w:val="18"/>
                <w:szCs w:val="18"/>
              </w:rPr>
              <w:t>РЕСПУБЛИКИ БАШКОРТОСТАН</w:t>
            </w:r>
          </w:p>
          <w:p w:rsidR="00BB61A7" w:rsidRDefault="00BB61A7">
            <w:pPr>
              <w:widowControl w:val="0"/>
              <w:autoSpaceDE w:val="0"/>
              <w:autoSpaceDN w:val="0"/>
              <w:adjustRightInd w:val="0"/>
              <w:ind w:right="282"/>
              <w:jc w:val="both"/>
              <w:rPr>
                <w:b/>
                <w:caps/>
                <w:sz w:val="18"/>
                <w:szCs w:val="18"/>
                <w:lang w:val="be-BY"/>
              </w:rPr>
            </w:pPr>
          </w:p>
          <w:p w:rsidR="00BB61A7" w:rsidRDefault="00BB61A7">
            <w:pPr>
              <w:ind w:right="282"/>
              <w:jc w:val="both"/>
              <w:rPr>
                <w:b/>
                <w:sz w:val="18"/>
                <w:szCs w:val="18"/>
                <w:lang w:val="be-BY"/>
              </w:rPr>
            </w:pPr>
          </w:p>
          <w:p w:rsidR="00BB61A7" w:rsidRDefault="00BB61A7">
            <w:pPr>
              <w:ind w:right="282"/>
              <w:jc w:val="both"/>
              <w:rPr>
                <w:b/>
                <w:sz w:val="18"/>
                <w:szCs w:val="18"/>
                <w:lang w:val="be-BY"/>
              </w:rPr>
            </w:pPr>
          </w:p>
          <w:p w:rsidR="00BB61A7" w:rsidRDefault="00BB61A7">
            <w:pPr>
              <w:ind w:right="282"/>
              <w:jc w:val="both"/>
              <w:rPr>
                <w:b/>
                <w:sz w:val="18"/>
                <w:szCs w:val="18"/>
                <w:lang w:val="be-BY"/>
              </w:rPr>
            </w:pPr>
          </w:p>
          <w:p w:rsidR="00BB61A7" w:rsidRDefault="00BB61A7">
            <w:pPr>
              <w:ind w:right="282" w:firstLine="708"/>
              <w:jc w:val="both"/>
              <w:rPr>
                <w:b/>
                <w:sz w:val="18"/>
                <w:szCs w:val="18"/>
                <w:lang w:val="be-BY"/>
              </w:rPr>
            </w:pPr>
            <w:r>
              <w:rPr>
                <w:b/>
                <w:sz w:val="18"/>
                <w:szCs w:val="18"/>
                <w:lang w:val="be-BY"/>
              </w:rPr>
              <w:t xml:space="preserve">           </w:t>
            </w:r>
          </w:p>
          <w:p w:rsidR="00BB61A7" w:rsidRDefault="00BB61A7">
            <w:pPr>
              <w:ind w:right="282" w:firstLine="708"/>
              <w:jc w:val="both"/>
              <w:rPr>
                <w:b/>
                <w:sz w:val="18"/>
                <w:szCs w:val="18"/>
                <w:lang w:val="be-BY"/>
              </w:rPr>
            </w:pPr>
          </w:p>
        </w:tc>
      </w:tr>
    </w:tbl>
    <w:p w:rsidR="00BB61A7" w:rsidRDefault="00BB61A7" w:rsidP="00BB61A7">
      <w:pPr>
        <w:pStyle w:val="a9"/>
        <w:rPr>
          <w:szCs w:val="28"/>
          <w:lang w:val="be-BY"/>
        </w:rPr>
      </w:pPr>
      <w:r>
        <w:rPr>
          <w:b/>
          <w:szCs w:val="28"/>
          <w:lang w:val="be-BY"/>
        </w:rPr>
        <w:t xml:space="preserve">   </w:t>
      </w:r>
      <w:r>
        <w:rPr>
          <w:b/>
          <w:szCs w:val="28"/>
        </w:rPr>
        <w:t xml:space="preserve">        </w:t>
      </w:r>
      <w:r>
        <w:rPr>
          <w:b/>
          <w:szCs w:val="28"/>
          <w:lang w:val="be-BY"/>
        </w:rPr>
        <w:t xml:space="preserve">     </w:t>
      </w:r>
      <w:r>
        <w:rPr>
          <w:rFonts w:ascii="Times Cyr Bash Normal" w:hAnsi="Times Cyr Bash Normal"/>
          <w:b/>
          <w:caps/>
          <w:szCs w:val="28"/>
          <w:lang w:val="be-BY"/>
        </w:rPr>
        <w:t>К</w:t>
      </w:r>
      <w:r>
        <w:rPr>
          <w:b/>
          <w:caps/>
          <w:szCs w:val="28"/>
          <w:lang w:val="be-BY"/>
        </w:rPr>
        <w:t>арар</w:t>
      </w:r>
      <w:r>
        <w:rPr>
          <w:b/>
          <w:caps/>
          <w:szCs w:val="28"/>
          <w:lang w:val="be-BY"/>
        </w:rPr>
        <w:tab/>
      </w:r>
      <w:r>
        <w:rPr>
          <w:b/>
          <w:szCs w:val="28"/>
          <w:lang w:val="be-BY"/>
        </w:rPr>
        <w:t xml:space="preserve">                     </w:t>
      </w:r>
      <w:r>
        <w:rPr>
          <w:b/>
          <w:szCs w:val="28"/>
        </w:rPr>
        <w:t xml:space="preserve">       </w:t>
      </w:r>
      <w:r>
        <w:rPr>
          <w:b/>
          <w:szCs w:val="28"/>
          <w:lang w:val="be-BY"/>
        </w:rPr>
        <w:t xml:space="preserve">                                             </w:t>
      </w:r>
      <w:r>
        <w:rPr>
          <w:b/>
          <w:caps/>
          <w:szCs w:val="28"/>
          <w:lang w:val="be-BY"/>
        </w:rPr>
        <w:t>решение</w:t>
      </w:r>
    </w:p>
    <w:p w:rsidR="00BB61A7" w:rsidRDefault="00BB61A7" w:rsidP="00BB61A7">
      <w:pPr>
        <w:pStyle w:val="1"/>
        <w:jc w:val="left"/>
        <w:rPr>
          <w:rFonts w:ascii="Bookman Old Style" w:hAnsi="Bookman Old Style"/>
          <w:b w:val="0"/>
          <w:sz w:val="28"/>
          <w:szCs w:val="28"/>
          <w:lang w:val="ru-RU"/>
        </w:rPr>
      </w:pPr>
    </w:p>
    <w:p w:rsidR="00BB61A7" w:rsidRDefault="00BB61A7" w:rsidP="00BB61A7">
      <w:pPr>
        <w:pStyle w:val="1"/>
        <w:jc w:val="left"/>
        <w:rPr>
          <w:rFonts w:ascii="Times New Roman" w:hAnsi="Times New Roman"/>
          <w:bCs/>
          <w:sz w:val="28"/>
          <w:szCs w:val="28"/>
          <w:lang w:val="ru-RU"/>
        </w:rPr>
      </w:pPr>
      <w:r>
        <w:rPr>
          <w:rFonts w:ascii="Bookman Old Style" w:hAnsi="Bookman Old Style"/>
          <w:b w:val="0"/>
          <w:sz w:val="28"/>
          <w:szCs w:val="28"/>
          <w:lang w:val="ru-RU"/>
        </w:rPr>
        <w:t xml:space="preserve">       </w:t>
      </w:r>
      <w:r>
        <w:rPr>
          <w:rFonts w:ascii="Times New Roman" w:hAnsi="Times New Roman"/>
          <w:sz w:val="28"/>
          <w:szCs w:val="28"/>
          <w:lang w:val="ru-RU"/>
        </w:rPr>
        <w:t xml:space="preserve">25 </w:t>
      </w:r>
      <w:r>
        <w:rPr>
          <w:rFonts w:ascii="Times New Roman" w:hAnsi="Times New Roman"/>
          <w:bCs/>
          <w:sz w:val="28"/>
          <w:szCs w:val="28"/>
        </w:rPr>
        <w:t xml:space="preserve">- заседание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lang w:val="ru-RU"/>
        </w:rPr>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lang w:val="ru-RU"/>
        </w:rPr>
        <w:t xml:space="preserve">  </w:t>
      </w:r>
      <w:r>
        <w:rPr>
          <w:rFonts w:ascii="Times New Roman" w:hAnsi="Times New Roman"/>
          <w:bCs/>
          <w:sz w:val="28"/>
          <w:szCs w:val="28"/>
        </w:rPr>
        <w:t>2</w:t>
      </w:r>
      <w:r>
        <w:rPr>
          <w:rFonts w:ascii="Times New Roman" w:hAnsi="Times New Roman"/>
          <w:bCs/>
          <w:sz w:val="28"/>
          <w:szCs w:val="28"/>
          <w:lang w:val="ru-RU"/>
        </w:rPr>
        <w:t xml:space="preserve">8 </w:t>
      </w:r>
      <w:r>
        <w:rPr>
          <w:rFonts w:ascii="Times New Roman" w:hAnsi="Times New Roman"/>
          <w:bCs/>
          <w:sz w:val="28"/>
          <w:szCs w:val="28"/>
        </w:rPr>
        <w:t>-</w:t>
      </w:r>
      <w:r>
        <w:rPr>
          <w:rFonts w:ascii="Times New Roman" w:hAnsi="Times New Roman"/>
          <w:bCs/>
          <w:sz w:val="28"/>
          <w:szCs w:val="28"/>
          <w:lang w:val="ru-RU"/>
        </w:rPr>
        <w:t xml:space="preserve"> </w:t>
      </w:r>
      <w:r>
        <w:rPr>
          <w:rFonts w:ascii="Times New Roman" w:hAnsi="Times New Roman"/>
          <w:bCs/>
          <w:sz w:val="28"/>
          <w:szCs w:val="28"/>
        </w:rPr>
        <w:t xml:space="preserve">созыва </w:t>
      </w:r>
    </w:p>
    <w:p w:rsidR="00BB61A7" w:rsidRDefault="00BB61A7" w:rsidP="00BB61A7">
      <w:pPr>
        <w:rPr>
          <w:sz w:val="28"/>
          <w:szCs w:val="28"/>
        </w:rPr>
      </w:pPr>
    </w:p>
    <w:p w:rsidR="00BB61A7" w:rsidRDefault="00BB61A7" w:rsidP="00BB61A7">
      <w:pPr>
        <w:jc w:val="center"/>
        <w:rPr>
          <w:b/>
          <w:bCs/>
        </w:rPr>
      </w:pPr>
      <w:r>
        <w:rPr>
          <w:b/>
          <w:bCs/>
        </w:rPr>
        <w:t xml:space="preserve">О внесении изменений и дополнений в решение Совета сельского поселения </w:t>
      </w:r>
      <w:proofErr w:type="spellStart"/>
      <w:r>
        <w:rPr>
          <w:b/>
          <w:bCs/>
        </w:rPr>
        <w:t>Сейтяковский</w:t>
      </w:r>
      <w:proofErr w:type="spellEnd"/>
      <w:r>
        <w:rPr>
          <w:b/>
          <w:bCs/>
        </w:rPr>
        <w:t xml:space="preserve">  сельсовет муниципального района </w:t>
      </w:r>
      <w:proofErr w:type="spellStart"/>
      <w:r>
        <w:rPr>
          <w:b/>
          <w:bCs/>
        </w:rPr>
        <w:t>Балтачевский</w:t>
      </w:r>
      <w:proofErr w:type="spellEnd"/>
      <w:r>
        <w:rPr>
          <w:b/>
          <w:bCs/>
        </w:rPr>
        <w:t xml:space="preserve"> район Республики Башкортостан от 13.03.2017 года №17/77 «Об утверждении Правил землепользования и застройки  сельского поселения </w:t>
      </w:r>
      <w:proofErr w:type="spellStart"/>
      <w:r>
        <w:rPr>
          <w:b/>
          <w:bCs/>
        </w:rPr>
        <w:t>Сейтяковский</w:t>
      </w:r>
      <w:proofErr w:type="spellEnd"/>
      <w:r>
        <w:rPr>
          <w:b/>
          <w:bCs/>
        </w:rPr>
        <w:t xml:space="preserve">  сельсовет муниципального района </w:t>
      </w:r>
      <w:proofErr w:type="spellStart"/>
      <w:r>
        <w:rPr>
          <w:b/>
          <w:bCs/>
        </w:rPr>
        <w:t>Балтачевский</w:t>
      </w:r>
      <w:proofErr w:type="spellEnd"/>
      <w:r>
        <w:rPr>
          <w:b/>
          <w:bCs/>
        </w:rPr>
        <w:t xml:space="preserve"> район Республики Башкортостан»</w:t>
      </w:r>
    </w:p>
    <w:p w:rsidR="00BB61A7" w:rsidRDefault="00BB61A7" w:rsidP="00BB61A7">
      <w:pPr>
        <w:jc w:val="both"/>
      </w:pPr>
    </w:p>
    <w:p w:rsidR="00BB61A7" w:rsidRDefault="00BB61A7" w:rsidP="00BB61A7">
      <w:pPr>
        <w:pStyle w:val="a8"/>
        <w:spacing w:before="0" w:beforeAutospacing="0" w:after="0" w:afterAutospacing="0"/>
        <w:ind w:firstLine="708"/>
        <w:jc w:val="both"/>
        <w:rPr>
          <w:b/>
          <w:color w:val="000000"/>
        </w:rPr>
      </w:pPr>
      <w:r>
        <w:rPr>
          <w:color w:val="000000"/>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Градостроительным кодексом Российской Федерации от 29.12.2004 № 190-ФЗ, Совет сельского поселения </w:t>
      </w:r>
      <w:proofErr w:type="spellStart"/>
      <w:r>
        <w:rPr>
          <w:bCs/>
        </w:rPr>
        <w:t>Сейтяковский</w:t>
      </w:r>
      <w:proofErr w:type="spellEnd"/>
      <w:r>
        <w:rPr>
          <w:b/>
          <w:bCs/>
        </w:rPr>
        <w:t xml:space="preserve"> </w:t>
      </w:r>
      <w:r>
        <w:rPr>
          <w:color w:val="000000"/>
        </w:rPr>
        <w:t xml:space="preserve">сельсовет муниципального района </w:t>
      </w:r>
      <w:proofErr w:type="spellStart"/>
      <w:r>
        <w:rPr>
          <w:color w:val="000000"/>
        </w:rPr>
        <w:t>Балтачевский</w:t>
      </w:r>
      <w:proofErr w:type="spellEnd"/>
      <w:r>
        <w:rPr>
          <w:color w:val="000000"/>
        </w:rPr>
        <w:t xml:space="preserve"> район Республики Башкортостан </w:t>
      </w:r>
      <w:r>
        <w:rPr>
          <w:b/>
          <w:color w:val="000000"/>
        </w:rPr>
        <w:t>РЕШИЛ:</w:t>
      </w:r>
    </w:p>
    <w:p w:rsidR="00BB61A7" w:rsidRDefault="00BB61A7" w:rsidP="00BB61A7">
      <w:pPr>
        <w:ind w:firstLine="708"/>
        <w:jc w:val="both"/>
        <w:rPr>
          <w:color w:val="000000"/>
        </w:rPr>
      </w:pPr>
      <w:r>
        <w:rPr>
          <w:color w:val="000000"/>
        </w:rPr>
        <w:t xml:space="preserve">1. Внести в </w:t>
      </w:r>
      <w:r>
        <w:t xml:space="preserve">решение Совета сельского поселения </w:t>
      </w:r>
      <w:proofErr w:type="spellStart"/>
      <w:r>
        <w:t>Сейтяковский</w:t>
      </w:r>
      <w:proofErr w:type="spellEnd"/>
      <w:r>
        <w:t xml:space="preserve">  сельсовет муниципального района </w:t>
      </w:r>
      <w:proofErr w:type="spellStart"/>
      <w:r>
        <w:t>Балтачевский</w:t>
      </w:r>
      <w:proofErr w:type="spellEnd"/>
      <w:r>
        <w:t xml:space="preserve"> район Республики Башкортостан от 13.02.2017 года №20/116 «Об утверждении Правил землепользования и застройки  сельского поселения </w:t>
      </w:r>
      <w:proofErr w:type="spellStart"/>
      <w:r>
        <w:t>Сейтяковский</w:t>
      </w:r>
      <w:proofErr w:type="spellEnd"/>
      <w:r>
        <w:t xml:space="preserve">  сельсовет муниципального района </w:t>
      </w:r>
      <w:proofErr w:type="spellStart"/>
      <w:r>
        <w:t>Балтачевский</w:t>
      </w:r>
      <w:proofErr w:type="spellEnd"/>
      <w:r>
        <w:t xml:space="preserve"> район Республики Башкортостан» </w:t>
      </w:r>
      <w:r>
        <w:rPr>
          <w:color w:val="000000"/>
        </w:rPr>
        <w:t>следующие изменения:</w:t>
      </w:r>
    </w:p>
    <w:p w:rsidR="00BB61A7" w:rsidRDefault="00BB61A7" w:rsidP="00BB61A7">
      <w:pPr>
        <w:ind w:firstLine="540"/>
        <w:jc w:val="both"/>
        <w:rPr>
          <w:color w:val="000000"/>
        </w:rPr>
      </w:pPr>
      <w:r>
        <w:t>1.1. в  п.2 ст.15 слова "30 календарных дней" заменить словами "25 календарных дней ";</w:t>
      </w:r>
    </w:p>
    <w:p w:rsidR="00BB61A7" w:rsidRDefault="00BB61A7" w:rsidP="00BB61A7">
      <w:pPr>
        <w:ind w:firstLine="540"/>
        <w:jc w:val="both"/>
      </w:pPr>
      <w:r>
        <w:t xml:space="preserve">  1.2. </w:t>
      </w:r>
      <w:hyperlink r:id="rId5" w:history="1">
        <w:r>
          <w:rPr>
            <w:rStyle w:val="a7"/>
          </w:rPr>
          <w:t>пункт 4 статьи 23</w:t>
        </w:r>
      </w:hyperlink>
      <w:r>
        <w:t xml:space="preserve"> признать утратившим силу. </w:t>
      </w:r>
    </w:p>
    <w:p w:rsidR="00BB61A7" w:rsidRDefault="00BB61A7" w:rsidP="00BB61A7">
      <w:pPr>
        <w:ind w:firstLine="540"/>
        <w:jc w:val="both"/>
      </w:pPr>
      <w:r>
        <w:t xml:space="preserve"> 1.3 </w:t>
      </w:r>
      <w:hyperlink r:id="rId6" w:history="1">
        <w:r>
          <w:rPr>
            <w:rStyle w:val="a7"/>
          </w:rPr>
          <w:t>дополнить</w:t>
        </w:r>
      </w:hyperlink>
      <w:r>
        <w:t xml:space="preserve"> статьями 23.1 и 23.2 следующего содержания:</w:t>
      </w:r>
    </w:p>
    <w:p w:rsidR="00BB61A7" w:rsidRDefault="00BB61A7" w:rsidP="00BB61A7">
      <w:pPr>
        <w:pStyle w:val="a8"/>
        <w:spacing w:before="0" w:beforeAutospacing="0" w:after="0" w:afterAutospacing="0"/>
        <w:ind w:firstLine="540"/>
        <w:jc w:val="both"/>
      </w:pPr>
      <w:r>
        <w:t>"</w:t>
      </w:r>
      <w:r>
        <w:rPr>
          <w:b/>
        </w:rPr>
        <w:t>Статья 23.1. Подключение (технологическое присоединение) объектов капитального строительства к сетям инженерно-технического обеспечения</w:t>
      </w:r>
    </w:p>
    <w:p w:rsidR="00BB61A7" w:rsidRDefault="00BB61A7" w:rsidP="00BB61A7">
      <w:pPr>
        <w:pStyle w:val="a8"/>
        <w:spacing w:before="0" w:beforeAutospacing="0" w:after="0" w:afterAutospacing="0"/>
        <w:ind w:firstLine="540"/>
        <w:jc w:val="both"/>
      </w:pPr>
      <w:r>
        <w:t xml:space="preserve">1. Подключение (технологическое присоединение) объектов капитального строительства к сетям </w:t>
      </w:r>
      <w:proofErr w:type="spellStart"/>
      <w:r>
        <w:t>электр</w:t>
      </w:r>
      <w:proofErr w:type="gramStart"/>
      <w:r>
        <w:t>о</w:t>
      </w:r>
      <w:proofErr w:type="spellEnd"/>
      <w:r>
        <w:t>-</w:t>
      </w:r>
      <w:proofErr w:type="gramEnd"/>
      <w:r>
        <w:t xml:space="preserve">, </w:t>
      </w:r>
      <w:proofErr w:type="spellStart"/>
      <w:r>
        <w:t>газо</w:t>
      </w:r>
      <w:proofErr w:type="spellEnd"/>
      <w:r>
        <w:t>-,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BB61A7" w:rsidRDefault="00BB61A7" w:rsidP="00BB61A7">
      <w:pPr>
        <w:pStyle w:val="a8"/>
        <w:spacing w:before="0" w:beforeAutospacing="0" w:after="0" w:afterAutospacing="0"/>
        <w:ind w:firstLine="540"/>
        <w:jc w:val="both"/>
      </w:pPr>
      <w:r>
        <w:t xml:space="preserve">2. </w:t>
      </w:r>
      <w:proofErr w:type="gramStart"/>
      <w: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w:t>
      </w:r>
      <w:r>
        <w:lastRenderedPageBreak/>
        <w:t>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w:t>
      </w:r>
      <w:proofErr w:type="gramEnd"/>
      <w:r>
        <w:t xml:space="preserve"> </w:t>
      </w:r>
      <w:proofErr w:type="gramStart"/>
      <w:r>
        <w:t>соответствующего вида (далее - договоры о подключении (технологическом присоединении), заключаемым лицом, указанным в части 5 или 6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roofErr w:type="gramEnd"/>
    </w:p>
    <w:p w:rsidR="00BB61A7" w:rsidRDefault="00BB61A7" w:rsidP="00BB61A7">
      <w:pPr>
        <w:pStyle w:val="a8"/>
        <w:spacing w:before="0" w:beforeAutospacing="0" w:after="0" w:afterAutospacing="0"/>
        <w:ind w:firstLine="540"/>
        <w:jc w:val="both"/>
      </w:pPr>
      <w:r>
        <w:t>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Градостроительного Кодекса РФ, частях 5 и 6 настоящей статьи, за исключением случаев технологического присоединения к электрическим сетям.</w:t>
      </w:r>
    </w:p>
    <w:p w:rsidR="00BB61A7" w:rsidRDefault="00BB61A7" w:rsidP="00BB61A7">
      <w:pPr>
        <w:pStyle w:val="a8"/>
        <w:spacing w:before="0" w:beforeAutospacing="0" w:after="0" w:afterAutospacing="0"/>
        <w:ind w:firstLine="540"/>
        <w:jc w:val="both"/>
      </w:pPr>
      <w:r>
        <w:t>4. Срок действия технических условий, предусмотренных частью 3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BB61A7" w:rsidRDefault="00BB61A7" w:rsidP="00BB61A7">
      <w:pPr>
        <w:pStyle w:val="a8"/>
        <w:spacing w:before="0" w:beforeAutospacing="0" w:after="0" w:afterAutospacing="0"/>
        <w:ind w:firstLine="540"/>
        <w:jc w:val="both"/>
      </w:pPr>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BB61A7" w:rsidRDefault="00BB61A7" w:rsidP="00BB61A7">
      <w:pPr>
        <w:pStyle w:val="a8"/>
        <w:spacing w:before="0" w:beforeAutospacing="0" w:after="0" w:afterAutospacing="0"/>
        <w:jc w:val="both"/>
      </w:pPr>
      <w:r>
        <w:t>1) правообладатель земельного участка и (или) объекта капитального строительства;</w:t>
      </w:r>
    </w:p>
    <w:p w:rsidR="00BB61A7" w:rsidRDefault="00BB61A7" w:rsidP="00BB61A7">
      <w:pPr>
        <w:pStyle w:val="a8"/>
        <w:spacing w:before="0" w:beforeAutospacing="0" w:after="0" w:afterAutospacing="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BB61A7" w:rsidRDefault="00BB61A7" w:rsidP="00BB61A7">
      <w:pPr>
        <w:pStyle w:val="a8"/>
        <w:spacing w:before="0" w:beforeAutospacing="0" w:after="0" w:afterAutospacing="0"/>
        <w:jc w:val="both"/>
      </w:pPr>
      <w:proofErr w:type="gramStart"/>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roofErr w:type="gramEnd"/>
    </w:p>
    <w:p w:rsidR="00BB61A7" w:rsidRDefault="00BB61A7" w:rsidP="00BB61A7">
      <w:pPr>
        <w:pStyle w:val="a8"/>
        <w:spacing w:before="0" w:beforeAutospacing="0" w:after="0" w:afterAutospacing="0"/>
        <w:ind w:firstLine="708"/>
        <w:jc w:val="both"/>
      </w:pPr>
      <w:r>
        <w:t xml:space="preserve">6. </w:t>
      </w:r>
      <w:proofErr w:type="gramStart"/>
      <w:r>
        <w:t>В случаях, предусмотренных частями 1.1 и 1.2 статьи 48, частью 7.3 статьи 51 Градостроительного Кодекса РФ,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w:t>
      </w:r>
      <w:proofErr w:type="gramEnd"/>
      <w:r>
        <w:t xml:space="preserve">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частью 1.1 статьи 57.3 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w:t>
      </w:r>
      <w:proofErr w:type="gramStart"/>
      <w:r>
        <w:t>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roofErr w:type="gramEnd"/>
    </w:p>
    <w:p w:rsidR="00BB61A7" w:rsidRDefault="00BB61A7" w:rsidP="00BB61A7">
      <w:pPr>
        <w:pStyle w:val="a8"/>
        <w:spacing w:before="0" w:beforeAutospacing="0" w:after="0" w:afterAutospacing="0"/>
        <w:ind w:firstLine="708"/>
        <w:jc w:val="both"/>
      </w:pPr>
      <w:r>
        <w:lastRenderedPageBreak/>
        <w:t xml:space="preserve">7. </w:t>
      </w:r>
      <w:proofErr w:type="gramStart"/>
      <w:r>
        <w:t>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roofErr w:type="gramEnd"/>
    </w:p>
    <w:p w:rsidR="00BB61A7" w:rsidRDefault="00BB61A7" w:rsidP="00BB61A7">
      <w:pPr>
        <w:pStyle w:val="a8"/>
        <w:spacing w:before="0" w:beforeAutospacing="0" w:after="0" w:afterAutospacing="0"/>
        <w:ind w:firstLine="708"/>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BB61A7" w:rsidRDefault="00BB61A7" w:rsidP="00BB61A7">
      <w:pPr>
        <w:pStyle w:val="a8"/>
        <w:spacing w:before="0" w:beforeAutospacing="0" w:after="0" w:afterAutospacing="0"/>
        <w:ind w:firstLine="708"/>
        <w:jc w:val="both"/>
      </w:pPr>
      <w:r>
        <w:t>9. В случае</w:t>
      </w:r>
      <w:proofErr w:type="gramStart"/>
      <w:r>
        <w:t>,</w:t>
      </w:r>
      <w:proofErr w:type="gramEnd"/>
      <w:r>
        <w:t xml:space="preserve">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частях 5 и 6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BB61A7" w:rsidRDefault="00BB61A7" w:rsidP="00BB61A7">
      <w:pPr>
        <w:pStyle w:val="a8"/>
        <w:spacing w:before="0" w:beforeAutospacing="0" w:after="0" w:afterAutospacing="0"/>
        <w:ind w:firstLine="708"/>
        <w:jc w:val="both"/>
      </w:pPr>
      <w:r>
        <w:t>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частями 11 и 12 настоящей статьи.</w:t>
      </w:r>
    </w:p>
    <w:p w:rsidR="00BB61A7" w:rsidRDefault="00BB61A7" w:rsidP="00BB61A7">
      <w:pPr>
        <w:pStyle w:val="a8"/>
        <w:spacing w:before="0" w:beforeAutospacing="0" w:after="0" w:afterAutospacing="0"/>
        <w:ind w:firstLine="708"/>
        <w:jc w:val="both"/>
      </w:pPr>
      <w:r>
        <w:t xml:space="preserve">11. </w:t>
      </w:r>
      <w:proofErr w:type="gramStart"/>
      <w: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w:t>
      </w:r>
      <w:proofErr w:type="gramEnd"/>
      <w:r>
        <w:t xml:space="preserve"> (</w:t>
      </w:r>
      <w:proofErr w:type="gramStart"/>
      <w:r>
        <w:t>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roofErr w:type="gramEnd"/>
    </w:p>
    <w:p w:rsidR="00BB61A7" w:rsidRDefault="00BB61A7" w:rsidP="00BB61A7">
      <w:pPr>
        <w:pStyle w:val="a8"/>
        <w:spacing w:before="0" w:beforeAutospacing="0" w:after="0" w:afterAutospacing="0"/>
        <w:ind w:firstLine="708"/>
        <w:jc w:val="both"/>
      </w:pPr>
      <w:r>
        <w:t>12. В случае</w:t>
      </w:r>
      <w:proofErr w:type="gramStart"/>
      <w:r>
        <w:t>,</w:t>
      </w:r>
      <w:proofErr w:type="gramEnd"/>
      <w:r>
        <w:t xml:space="preserve"> если в соответствии с частью 12.1 статьи 48 Градостроительного Кодекса РФ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w:t>
      </w:r>
      <w:r>
        <w:lastRenderedPageBreak/>
        <w:t xml:space="preserve">внесения платы за подключение (технологическое присоединение) таких </w:t>
      </w:r>
      <w:proofErr w:type="gramStart"/>
      <w:r>
        <w:t>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w:t>
      </w:r>
      <w:proofErr w:type="gramEnd"/>
      <w:r>
        <w:t xml:space="preserve">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BB61A7" w:rsidRDefault="00BB61A7" w:rsidP="00BB61A7">
      <w:pPr>
        <w:pStyle w:val="a8"/>
        <w:spacing w:before="0" w:beforeAutospacing="0" w:after="0" w:afterAutospacing="0"/>
        <w:ind w:firstLine="708"/>
        <w:jc w:val="both"/>
      </w:pPr>
      <w:r>
        <w:t xml:space="preserve">13. </w:t>
      </w:r>
      <w:proofErr w:type="gramStart"/>
      <w:r>
        <w:t>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w:t>
      </w:r>
      <w:proofErr w:type="gramEnd"/>
      <w:r>
        <w:t xml:space="preserve">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BB61A7" w:rsidRDefault="00BB61A7" w:rsidP="00BB61A7">
      <w:pPr>
        <w:pStyle w:val="a8"/>
        <w:spacing w:before="0" w:beforeAutospacing="0" w:after="0" w:afterAutospacing="0"/>
        <w:ind w:firstLine="708"/>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BB61A7" w:rsidRDefault="00BB61A7" w:rsidP="00BB61A7">
      <w:pPr>
        <w:pStyle w:val="a8"/>
        <w:spacing w:before="0" w:beforeAutospacing="0" w:after="0" w:afterAutospacing="0"/>
        <w:ind w:firstLine="708"/>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BB61A7" w:rsidRDefault="00BB61A7" w:rsidP="00BB61A7">
      <w:pPr>
        <w:pStyle w:val="a8"/>
        <w:spacing w:before="0" w:beforeAutospacing="0" w:after="0" w:afterAutospacing="0"/>
        <w:ind w:firstLine="708"/>
        <w:jc w:val="both"/>
      </w:pPr>
      <w:r>
        <w:t>16. Содержание комплексной схемы инженерного обеспечения территории, порядок ее разработки и утверждения, а также порядок и сроки ее согласования с правообладателями сетей инженерно-технического обеспечения устанавливаются Правительством Российской Федерации.</w:t>
      </w:r>
    </w:p>
    <w:p w:rsidR="00BB61A7" w:rsidRDefault="00BB61A7" w:rsidP="00BB61A7">
      <w:pPr>
        <w:pStyle w:val="a8"/>
        <w:spacing w:before="0" w:beforeAutospacing="0" w:after="0" w:afterAutospacing="0"/>
        <w:ind w:firstLine="708"/>
        <w:jc w:val="both"/>
      </w:pPr>
      <w:r>
        <w:t xml:space="preserve">17. </w:t>
      </w:r>
      <w:proofErr w:type="gramStart"/>
      <w:r>
        <w:t>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w:t>
      </w:r>
      <w:proofErr w:type="gramEnd"/>
      <w:r>
        <w:t xml:space="preserve"> (</w:t>
      </w:r>
      <w:proofErr w:type="gramStart"/>
      <w:r>
        <w:t>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roofErr w:type="gramEnd"/>
    </w:p>
    <w:p w:rsidR="00BB61A7" w:rsidRDefault="00BB61A7" w:rsidP="00BB61A7">
      <w:pPr>
        <w:pStyle w:val="a8"/>
        <w:spacing w:before="0" w:beforeAutospacing="0" w:after="0" w:afterAutospacing="0"/>
        <w:ind w:firstLine="708"/>
        <w:jc w:val="both"/>
      </w:pPr>
      <w:r>
        <w:t xml:space="preserve">18. Порядок и условия указанного в части 17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w:t>
      </w:r>
      <w:r>
        <w:lastRenderedPageBreak/>
        <w:t>допускается, по каждому виду ресурсов определяются правилами подключения (технологического присоединения).</w:t>
      </w:r>
    </w:p>
    <w:p w:rsidR="00BB61A7" w:rsidRDefault="00BB61A7" w:rsidP="00BB61A7">
      <w:pPr>
        <w:pStyle w:val="a8"/>
        <w:spacing w:before="0" w:beforeAutospacing="0" w:after="0" w:afterAutospacing="0"/>
        <w:ind w:firstLine="708"/>
        <w:jc w:val="both"/>
      </w:pPr>
      <w:r>
        <w:t>19. При указанном в части 17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BB61A7" w:rsidRDefault="00BB61A7" w:rsidP="00BB61A7">
      <w:pPr>
        <w:pStyle w:val="a8"/>
        <w:spacing w:before="0" w:beforeAutospacing="0" w:after="0" w:afterAutospacing="0"/>
        <w:ind w:firstLine="708"/>
        <w:jc w:val="both"/>
      </w:pPr>
      <w:r>
        <w:t>20. При указанном в части 17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BB61A7" w:rsidRDefault="00BB61A7" w:rsidP="00BB61A7">
      <w:pPr>
        <w:pStyle w:val="a8"/>
        <w:spacing w:before="0" w:beforeAutospacing="0" w:after="0" w:afterAutospacing="0"/>
        <w:jc w:val="both"/>
      </w:pPr>
    </w:p>
    <w:p w:rsidR="00BB61A7" w:rsidRDefault="00BB61A7" w:rsidP="00BB61A7">
      <w:pPr>
        <w:pStyle w:val="a8"/>
        <w:spacing w:before="0" w:beforeAutospacing="0" w:after="0" w:afterAutospacing="0"/>
        <w:ind w:firstLine="708"/>
        <w:jc w:val="both"/>
        <w:rPr>
          <w:b/>
        </w:rPr>
      </w:pPr>
      <w:r>
        <w:rPr>
          <w:b/>
        </w:rPr>
        <w:t>Статья 23.2.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BB61A7" w:rsidRDefault="00BB61A7" w:rsidP="00BB61A7">
      <w:pPr>
        <w:pStyle w:val="a8"/>
        <w:spacing w:before="0" w:beforeAutospacing="0" w:after="0" w:afterAutospacing="0"/>
        <w:ind w:firstLine="708"/>
        <w:jc w:val="both"/>
      </w:pPr>
      <w:r>
        <w:t xml:space="preserve">1. </w:t>
      </w:r>
      <w:proofErr w:type="gramStart"/>
      <w:r>
        <w:t xml:space="preserve">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w:t>
      </w:r>
      <w:proofErr w:type="spellStart"/>
      <w:r>
        <w:t>электросетевого</w:t>
      </w:r>
      <w:proofErr w:type="spellEnd"/>
      <w:r>
        <w:t xml:space="preserve">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их частей (далее в настоящей статье - существующие линейные объекты), в связи с</w:t>
      </w:r>
      <w:proofErr w:type="gramEnd"/>
      <w:r>
        <w:t xml:space="preserve"> планируемым строительством, реконструкцией или капитальным ремонтом:</w:t>
      </w:r>
    </w:p>
    <w:p w:rsidR="00BB61A7" w:rsidRDefault="00BB61A7" w:rsidP="00BB61A7">
      <w:pPr>
        <w:pStyle w:val="a8"/>
        <w:spacing w:before="0" w:beforeAutospacing="0" w:after="0" w:afterAutospacing="0"/>
        <w:jc w:val="both"/>
      </w:pPr>
      <w:r>
        <w:t>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Градостроительного Кодекса РФ проекта планировки территории;</w:t>
      </w:r>
    </w:p>
    <w:p w:rsidR="00BB61A7" w:rsidRDefault="00BB61A7" w:rsidP="00BB61A7">
      <w:pPr>
        <w:pStyle w:val="a8"/>
        <w:spacing w:before="0" w:beforeAutospacing="0" w:after="0" w:afterAutospacing="0"/>
        <w:jc w:val="both"/>
      </w:pPr>
      <w:r>
        <w:t>2) многоквартирных жилых домов, жилых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BB61A7" w:rsidRDefault="00BB61A7" w:rsidP="00BB61A7">
      <w:pPr>
        <w:pStyle w:val="a8"/>
        <w:spacing w:before="0" w:beforeAutospacing="0" w:after="0" w:afterAutospacing="0"/>
        <w:ind w:firstLine="708"/>
        <w:jc w:val="both"/>
      </w:pPr>
      <w:r>
        <w:t xml:space="preserve">2. </w:t>
      </w:r>
      <w:proofErr w:type="gramStart"/>
      <w:r>
        <w:t xml:space="preserve">Условия осуществления реконструкции, капитального ремонта объектов </w:t>
      </w:r>
      <w:proofErr w:type="spellStart"/>
      <w:r>
        <w:t>электросетевого</w:t>
      </w:r>
      <w:proofErr w:type="spellEnd"/>
      <w:r>
        <w:t xml:space="preserve">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пунктах 1 и 2 части 1 настоящей статьи объектов капитального строительства, предусматривающие изменение местоположения существующих линейных объектов</w:t>
      </w:r>
      <w:proofErr w:type="gramEnd"/>
      <w:r>
        <w:t>, определяются по соглашению сторон в соответствии с законодательством Российской Федерации.</w:t>
      </w:r>
    </w:p>
    <w:p w:rsidR="00BB61A7" w:rsidRDefault="00BB61A7" w:rsidP="00BB61A7">
      <w:pPr>
        <w:pStyle w:val="a8"/>
        <w:spacing w:before="0" w:beforeAutospacing="0" w:after="0" w:afterAutospacing="0"/>
        <w:ind w:firstLine="708"/>
        <w:jc w:val="both"/>
      </w:pPr>
      <w:r>
        <w:t>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статьей 52.1 Градостроительного Кодекса РФ.</w:t>
      </w:r>
    </w:p>
    <w:p w:rsidR="00BB61A7" w:rsidRDefault="00BB61A7" w:rsidP="00BB61A7">
      <w:pPr>
        <w:pStyle w:val="a8"/>
        <w:spacing w:before="0" w:beforeAutospacing="0" w:after="0" w:afterAutospacing="0"/>
        <w:ind w:firstLine="708"/>
        <w:jc w:val="both"/>
      </w:pPr>
      <w:r>
        <w:t xml:space="preserve">4. </w:t>
      </w:r>
      <w:proofErr w:type="gramStart"/>
      <w:r>
        <w:t>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пунктах 1 и 2 части 1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w:t>
      </w:r>
      <w:proofErr w:type="gramEnd"/>
      <w:r>
        <w:t xml:space="preserve"> </w:t>
      </w:r>
      <w:proofErr w:type="gramStart"/>
      <w:r>
        <w:t>целях</w:t>
      </w:r>
      <w:proofErr w:type="gramEnd"/>
      <w:r>
        <w:t xml:space="preserve"> </w:t>
      </w:r>
      <w:r>
        <w:lastRenderedPageBreak/>
        <w:t>реконструкции, капитального ремонта существующих линейных объектов (далее - технические требования и условия), либо отказывают в их выдаче.</w:t>
      </w:r>
    </w:p>
    <w:p w:rsidR="00BB61A7" w:rsidRDefault="00BB61A7" w:rsidP="00BB61A7">
      <w:pPr>
        <w:pStyle w:val="a8"/>
        <w:spacing w:before="0" w:beforeAutospacing="0" w:after="0" w:afterAutospacing="0"/>
        <w:ind w:firstLine="708"/>
        <w:jc w:val="both"/>
      </w:pPr>
      <w:r>
        <w:t>5. Состав и содержание технических требований и условий, порядок их выдачи, порядок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BB61A7" w:rsidRDefault="00BB61A7" w:rsidP="00BB61A7">
      <w:pPr>
        <w:pStyle w:val="a8"/>
        <w:spacing w:before="0" w:beforeAutospacing="0" w:after="0" w:afterAutospacing="0"/>
        <w:ind w:firstLine="708"/>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BB61A7" w:rsidRDefault="00BB61A7" w:rsidP="00BB61A7">
      <w:pPr>
        <w:pStyle w:val="a8"/>
        <w:spacing w:before="0" w:beforeAutospacing="0" w:after="0" w:afterAutospacing="0"/>
        <w:ind w:firstLine="708"/>
        <w:jc w:val="both"/>
      </w:pPr>
      <w:r>
        <w:t>7. Срок действия технических требований и условий не может быть менее чем два года со дня их выдачи.</w:t>
      </w:r>
    </w:p>
    <w:p w:rsidR="00BB61A7" w:rsidRDefault="00BB61A7" w:rsidP="00BB61A7">
      <w:pPr>
        <w:pStyle w:val="a8"/>
        <w:spacing w:before="0" w:beforeAutospacing="0" w:after="0" w:afterAutospacing="0"/>
        <w:ind w:firstLine="708"/>
        <w:jc w:val="both"/>
      </w:pPr>
      <w:r>
        <w:t>8. Технические требования и условия являются обязательным приложением к договору, предусмотренному частью 10 настоящей статьи.</w:t>
      </w:r>
    </w:p>
    <w:p w:rsidR="00BB61A7" w:rsidRDefault="00BB61A7" w:rsidP="00BB61A7">
      <w:pPr>
        <w:pStyle w:val="a8"/>
        <w:spacing w:before="0" w:beforeAutospacing="0" w:after="0" w:afterAutospacing="0"/>
        <w:ind w:firstLine="708"/>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BB61A7" w:rsidRDefault="00BB61A7" w:rsidP="00BB61A7">
      <w:pPr>
        <w:pStyle w:val="a8"/>
        <w:spacing w:before="0" w:beforeAutospacing="0" w:after="0" w:afterAutospacing="0"/>
        <w:ind w:firstLine="708"/>
        <w:jc w:val="both"/>
      </w:pPr>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BB61A7" w:rsidRDefault="00BB61A7" w:rsidP="00BB61A7">
      <w:pPr>
        <w:pStyle w:val="a8"/>
        <w:spacing w:before="0" w:beforeAutospacing="0" w:after="0" w:afterAutospacing="0"/>
        <w:ind w:firstLine="708"/>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BB61A7" w:rsidRDefault="00BB61A7" w:rsidP="00BB61A7">
      <w:pPr>
        <w:pStyle w:val="a8"/>
        <w:spacing w:before="0" w:beforeAutospacing="0" w:after="0" w:afterAutospacing="0"/>
        <w:ind w:firstLine="708"/>
        <w:jc w:val="both"/>
      </w:pPr>
      <w:r>
        <w:t>12. В договор включаются:</w:t>
      </w:r>
    </w:p>
    <w:p w:rsidR="00BB61A7" w:rsidRDefault="00BB61A7" w:rsidP="00BB61A7">
      <w:pPr>
        <w:pStyle w:val="a8"/>
        <w:spacing w:before="0" w:beforeAutospacing="0" w:after="0" w:afterAutospacing="0"/>
        <w:jc w:val="both"/>
      </w:pPr>
      <w:r>
        <w:t>1) сведения о местоположении объектов капитального строительства, указанных в пунктах 1 и 2 части 1 настоящей статьи;</w:t>
      </w:r>
    </w:p>
    <w:p w:rsidR="00BB61A7" w:rsidRDefault="00BB61A7" w:rsidP="00BB61A7">
      <w:pPr>
        <w:pStyle w:val="a8"/>
        <w:spacing w:before="0" w:beforeAutospacing="0" w:after="0" w:afterAutospacing="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BB61A7" w:rsidRDefault="00BB61A7" w:rsidP="00BB61A7">
      <w:pPr>
        <w:pStyle w:val="a8"/>
        <w:spacing w:before="0" w:beforeAutospacing="0" w:after="0" w:afterAutospacing="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BB61A7" w:rsidRDefault="00BB61A7" w:rsidP="00BB61A7">
      <w:pPr>
        <w:pStyle w:val="a8"/>
        <w:spacing w:before="0" w:beforeAutospacing="0" w:after="0" w:afterAutospacing="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BB61A7" w:rsidRDefault="00BB61A7" w:rsidP="00BB61A7">
      <w:pPr>
        <w:pStyle w:val="a8"/>
        <w:spacing w:before="0" w:beforeAutospacing="0" w:after="0" w:afterAutospacing="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BB61A7" w:rsidRDefault="00BB61A7" w:rsidP="00BB61A7">
      <w:pPr>
        <w:pStyle w:val="a8"/>
        <w:spacing w:before="0" w:beforeAutospacing="0" w:after="0" w:afterAutospacing="0"/>
        <w:jc w:val="both"/>
      </w:pPr>
      <w:r>
        <w:t xml:space="preserve">6) форма и сроки возмещения застройщиком, техническим заказчиком затрат, возникших в связи с </w:t>
      </w:r>
      <w:proofErr w:type="gramStart"/>
      <w:r>
        <w:t>такими</w:t>
      </w:r>
      <w:proofErr w:type="gramEnd"/>
      <w:r>
        <w:t xml:space="preserve"> реконструкцией, капитальным ремонтом существующих линейных объектов, их правообладателям;</w:t>
      </w:r>
    </w:p>
    <w:p w:rsidR="00BB61A7" w:rsidRDefault="00BB61A7" w:rsidP="00BB61A7">
      <w:pPr>
        <w:pStyle w:val="a8"/>
        <w:spacing w:before="0" w:beforeAutospacing="0" w:after="0" w:afterAutospacing="0"/>
        <w:jc w:val="both"/>
      </w:pPr>
      <w: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w:t>
      </w:r>
      <w:r>
        <w:lastRenderedPageBreak/>
        <w:t>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BB61A7" w:rsidRDefault="00BB61A7" w:rsidP="00BB61A7">
      <w:pPr>
        <w:pStyle w:val="a8"/>
        <w:spacing w:before="0" w:beforeAutospacing="0" w:after="0" w:afterAutospacing="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BB61A7" w:rsidRDefault="00BB61A7" w:rsidP="00BB61A7">
      <w:pPr>
        <w:pStyle w:val="a8"/>
        <w:spacing w:before="0" w:beforeAutospacing="0" w:after="0" w:afterAutospacing="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BB61A7" w:rsidRDefault="00BB61A7" w:rsidP="00BB61A7">
      <w:pPr>
        <w:pStyle w:val="a8"/>
        <w:spacing w:before="0" w:beforeAutospacing="0" w:after="0" w:afterAutospacing="0"/>
        <w:jc w:val="both"/>
      </w:pPr>
      <w:r>
        <w:t>10) ответственность сторон за неисполнение или ненадлежащее исполнение договора.</w:t>
      </w:r>
    </w:p>
    <w:p w:rsidR="00BB61A7" w:rsidRDefault="00BB61A7" w:rsidP="00BB61A7">
      <w:pPr>
        <w:pStyle w:val="a8"/>
        <w:spacing w:before="0" w:beforeAutospacing="0" w:after="0" w:afterAutospacing="0"/>
        <w:ind w:firstLine="708"/>
        <w:jc w:val="both"/>
      </w:pPr>
      <w:r>
        <w:t xml:space="preserve">13. </w:t>
      </w:r>
      <w:proofErr w:type="gramStart"/>
      <w:r>
        <w:t>Предусмотренное пунктом 6 части 12 настоящей статьи возмещение осуществляется в денежной и (или) в натуральной формах.</w:t>
      </w:r>
      <w:proofErr w:type="gramEnd"/>
      <w:r>
        <w:t xml:space="preserve">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BB61A7" w:rsidRDefault="00BB61A7" w:rsidP="00BB61A7">
      <w:pPr>
        <w:pStyle w:val="a8"/>
        <w:spacing w:before="0" w:beforeAutospacing="0" w:after="0" w:afterAutospacing="0"/>
        <w:ind w:firstLine="708"/>
        <w:jc w:val="both"/>
      </w:pPr>
      <w:r>
        <w:t>14. В случае</w:t>
      </w:r>
      <w:proofErr w:type="gramStart"/>
      <w:r>
        <w:t>,</w:t>
      </w:r>
      <w:proofErr w:type="gramEnd"/>
      <w:r>
        <w:t xml:space="preserve">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w:t>
      </w:r>
      <w:proofErr w:type="gramStart"/>
      <w:r>
        <w:t>предусмотренных</w:t>
      </w:r>
      <w:proofErr w:type="gramEnd"/>
      <w:r>
        <w:t xml:space="preserve">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BB61A7" w:rsidRDefault="00BB61A7" w:rsidP="00BB61A7">
      <w:pPr>
        <w:pStyle w:val="a8"/>
        <w:spacing w:before="0" w:beforeAutospacing="0" w:after="0" w:afterAutospacing="0"/>
        <w:ind w:firstLine="708"/>
        <w:jc w:val="both"/>
      </w:pPr>
      <w:r>
        <w:t xml:space="preserve">15. </w:t>
      </w:r>
      <w:proofErr w:type="gramStart"/>
      <w:r>
        <w:t>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w:t>
      </w:r>
      <w:proofErr w:type="gramEnd"/>
      <w:r>
        <w:t xml:space="preserve">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BB61A7" w:rsidRDefault="00BB61A7" w:rsidP="00BB61A7">
      <w:pPr>
        <w:pStyle w:val="a8"/>
        <w:spacing w:before="0" w:beforeAutospacing="0" w:after="0" w:afterAutospacing="0"/>
        <w:ind w:firstLine="708"/>
        <w:jc w:val="both"/>
      </w:pPr>
      <w:r>
        <w:t>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пунктах 1 и 2 части 1 настоящей статьи, определяется Правительством Российской Федерации.</w:t>
      </w:r>
    </w:p>
    <w:p w:rsidR="00BB61A7" w:rsidRDefault="00BB61A7" w:rsidP="00BB61A7">
      <w:pPr>
        <w:pStyle w:val="a8"/>
        <w:spacing w:before="0" w:beforeAutospacing="0" w:after="0" w:afterAutospacing="0"/>
        <w:ind w:firstLine="708"/>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BB61A7" w:rsidRDefault="00BB61A7" w:rsidP="00BB61A7">
      <w:pPr>
        <w:pStyle w:val="a8"/>
        <w:spacing w:before="0" w:beforeAutospacing="0" w:after="0" w:afterAutospacing="0"/>
        <w:ind w:firstLine="708"/>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w:t>
      </w:r>
      <w:proofErr w:type="gramStart"/>
      <w:r>
        <w:t xml:space="preserve">или) </w:t>
      </w:r>
      <w:proofErr w:type="gramEnd"/>
      <w:r>
        <w:t>улучшение технических характеристик обусловлены необходимостью соблюдения требований технических регламентов.";</w:t>
      </w:r>
    </w:p>
    <w:p w:rsidR="00BB61A7" w:rsidRDefault="00BB61A7" w:rsidP="00BB61A7">
      <w:pPr>
        <w:ind w:firstLine="709"/>
        <w:jc w:val="both"/>
        <w:rPr>
          <w:color w:val="000000"/>
        </w:rPr>
      </w:pPr>
    </w:p>
    <w:p w:rsidR="00BB61A7" w:rsidRDefault="00BB61A7" w:rsidP="00BB61A7">
      <w:pPr>
        <w:ind w:firstLine="709"/>
        <w:jc w:val="both"/>
        <w:rPr>
          <w:color w:val="000000"/>
        </w:rPr>
      </w:pPr>
      <w:r>
        <w:rPr>
          <w:color w:val="000000"/>
        </w:rPr>
        <w:t xml:space="preserve">2. Настоящее решение опубликовать на информационном стенде и официальном сайте Администрации сельского поселения </w:t>
      </w:r>
      <w:proofErr w:type="spellStart"/>
      <w:r>
        <w:rPr>
          <w:color w:val="000000"/>
        </w:rPr>
        <w:t>Сейтяковский</w:t>
      </w:r>
      <w:proofErr w:type="spellEnd"/>
      <w:r>
        <w:rPr>
          <w:color w:val="000000"/>
        </w:rPr>
        <w:t xml:space="preserve"> сельсовет муниципального района </w:t>
      </w:r>
      <w:proofErr w:type="spellStart"/>
      <w:r>
        <w:rPr>
          <w:color w:val="000000"/>
        </w:rPr>
        <w:t>Балтачевский</w:t>
      </w:r>
      <w:proofErr w:type="spellEnd"/>
      <w:r>
        <w:rPr>
          <w:color w:val="000000"/>
        </w:rPr>
        <w:t xml:space="preserve">  район Республики Башкортостан.</w:t>
      </w:r>
    </w:p>
    <w:p w:rsidR="00BB61A7" w:rsidRDefault="00BB61A7" w:rsidP="00BB61A7">
      <w:pPr>
        <w:ind w:firstLine="708"/>
        <w:jc w:val="both"/>
        <w:rPr>
          <w:color w:val="000000"/>
          <w:lang w:eastAsia="en-US"/>
        </w:rPr>
      </w:pPr>
    </w:p>
    <w:p w:rsidR="00BB61A7" w:rsidRDefault="00BB61A7" w:rsidP="00BB61A7">
      <w:pPr>
        <w:ind w:firstLine="708"/>
        <w:jc w:val="both"/>
        <w:rPr>
          <w:color w:val="000000"/>
        </w:rPr>
      </w:pPr>
      <w:r>
        <w:rPr>
          <w:color w:val="000000"/>
          <w:lang w:eastAsia="en-US"/>
        </w:rPr>
        <w:lastRenderedPageBreak/>
        <w:t>3. Настоящее постановление вступает в силу со дня его официального опубликования (обнародования).</w:t>
      </w:r>
    </w:p>
    <w:p w:rsidR="00BB61A7" w:rsidRDefault="00BB61A7" w:rsidP="00BB61A7">
      <w:pPr>
        <w:ind w:firstLine="708"/>
        <w:jc w:val="both"/>
        <w:rPr>
          <w:color w:val="000000"/>
        </w:rPr>
      </w:pPr>
    </w:p>
    <w:p w:rsidR="00BB61A7" w:rsidRDefault="00BB61A7" w:rsidP="00BB61A7">
      <w:pPr>
        <w:ind w:firstLine="708"/>
        <w:jc w:val="both"/>
        <w:rPr>
          <w:color w:val="000000"/>
        </w:rPr>
      </w:pPr>
      <w:r>
        <w:rPr>
          <w:color w:val="000000"/>
        </w:rPr>
        <w:t xml:space="preserve">4. </w:t>
      </w:r>
      <w:proofErr w:type="gramStart"/>
      <w:r>
        <w:rPr>
          <w:color w:val="000000"/>
        </w:rPr>
        <w:t>Контроль за</w:t>
      </w:r>
      <w:proofErr w:type="gramEnd"/>
      <w:r>
        <w:rPr>
          <w:color w:val="000000"/>
        </w:rPr>
        <w:t xml:space="preserve"> исполнением настоящего решения оставляю за собой.</w:t>
      </w:r>
    </w:p>
    <w:p w:rsidR="00BB61A7" w:rsidRDefault="00BB61A7" w:rsidP="00BB61A7">
      <w:pPr>
        <w:jc w:val="both"/>
        <w:rPr>
          <w:color w:val="000000"/>
          <w:sz w:val="28"/>
          <w:szCs w:val="28"/>
        </w:rPr>
      </w:pPr>
    </w:p>
    <w:p w:rsidR="00BB61A7" w:rsidRDefault="00BB61A7" w:rsidP="00BB61A7">
      <w:pPr>
        <w:jc w:val="both"/>
        <w:rPr>
          <w:color w:val="000000"/>
          <w:szCs w:val="28"/>
        </w:rPr>
      </w:pPr>
    </w:p>
    <w:p w:rsidR="00BB61A7" w:rsidRDefault="00BB61A7" w:rsidP="00BB61A7">
      <w:pPr>
        <w:jc w:val="both"/>
        <w:rPr>
          <w:color w:val="000000"/>
          <w:szCs w:val="28"/>
        </w:rPr>
      </w:pPr>
    </w:p>
    <w:p w:rsidR="00BB61A7" w:rsidRDefault="00BB61A7" w:rsidP="00BB61A7">
      <w:pPr>
        <w:pStyle w:val="3"/>
        <w:spacing w:after="0"/>
        <w:ind w:left="0"/>
        <w:jc w:val="both"/>
        <w:rPr>
          <w:sz w:val="28"/>
          <w:szCs w:val="28"/>
        </w:rPr>
      </w:pPr>
      <w:r>
        <w:rPr>
          <w:sz w:val="28"/>
          <w:szCs w:val="28"/>
        </w:rPr>
        <w:t xml:space="preserve">Глава сельского поселения </w:t>
      </w:r>
      <w:proofErr w:type="spellStart"/>
      <w:r>
        <w:rPr>
          <w:sz w:val="28"/>
          <w:szCs w:val="28"/>
        </w:rPr>
        <w:t>Сейтяковский</w:t>
      </w:r>
      <w:proofErr w:type="spellEnd"/>
      <w:r>
        <w:rPr>
          <w:sz w:val="28"/>
          <w:szCs w:val="28"/>
        </w:rPr>
        <w:t xml:space="preserve"> сельсовет</w:t>
      </w:r>
    </w:p>
    <w:p w:rsidR="00BB61A7" w:rsidRDefault="00BB61A7" w:rsidP="00BB61A7">
      <w:pPr>
        <w:pStyle w:val="3"/>
        <w:spacing w:after="0"/>
        <w:ind w:left="0"/>
        <w:jc w:val="both"/>
        <w:rPr>
          <w:sz w:val="28"/>
          <w:szCs w:val="28"/>
        </w:rPr>
      </w:pPr>
      <w:r>
        <w:rPr>
          <w:sz w:val="28"/>
          <w:szCs w:val="28"/>
        </w:rPr>
        <w:t xml:space="preserve">муниципального района </w:t>
      </w:r>
      <w:proofErr w:type="spellStart"/>
      <w:r>
        <w:rPr>
          <w:sz w:val="28"/>
          <w:szCs w:val="28"/>
        </w:rPr>
        <w:t>Балтачевский</w:t>
      </w:r>
      <w:proofErr w:type="spellEnd"/>
      <w:r>
        <w:rPr>
          <w:sz w:val="28"/>
          <w:szCs w:val="28"/>
        </w:rPr>
        <w:t xml:space="preserve"> район</w:t>
      </w:r>
    </w:p>
    <w:p w:rsidR="00BB61A7" w:rsidRDefault="00BB61A7" w:rsidP="00BB61A7">
      <w:pPr>
        <w:pStyle w:val="3"/>
        <w:spacing w:after="0"/>
        <w:ind w:left="0"/>
        <w:jc w:val="both"/>
        <w:rPr>
          <w:sz w:val="28"/>
          <w:szCs w:val="28"/>
        </w:rPr>
      </w:pPr>
      <w:r>
        <w:rPr>
          <w:sz w:val="28"/>
          <w:szCs w:val="28"/>
        </w:rPr>
        <w:t>Республики Башкортостан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Э.С. </w:t>
      </w:r>
      <w:proofErr w:type="spellStart"/>
      <w:r>
        <w:rPr>
          <w:sz w:val="28"/>
          <w:szCs w:val="28"/>
        </w:rPr>
        <w:t>Фаюршина</w:t>
      </w:r>
      <w:proofErr w:type="spellEnd"/>
    </w:p>
    <w:p w:rsidR="00BB61A7" w:rsidRDefault="00BB61A7" w:rsidP="00BB61A7">
      <w:pPr>
        <w:pStyle w:val="3"/>
        <w:spacing w:after="0"/>
        <w:ind w:left="0"/>
        <w:jc w:val="both"/>
        <w:rPr>
          <w:sz w:val="28"/>
          <w:szCs w:val="28"/>
        </w:rPr>
      </w:pPr>
    </w:p>
    <w:p w:rsidR="00BB61A7" w:rsidRDefault="00BB61A7" w:rsidP="00BB61A7">
      <w:pPr>
        <w:pStyle w:val="3"/>
        <w:spacing w:after="0"/>
        <w:ind w:left="0"/>
        <w:jc w:val="both"/>
        <w:rPr>
          <w:sz w:val="24"/>
          <w:szCs w:val="24"/>
        </w:rPr>
      </w:pPr>
      <w:r>
        <w:rPr>
          <w:sz w:val="24"/>
          <w:szCs w:val="24"/>
        </w:rPr>
        <w:t xml:space="preserve">с. </w:t>
      </w:r>
      <w:proofErr w:type="spellStart"/>
      <w:r>
        <w:rPr>
          <w:sz w:val="24"/>
          <w:szCs w:val="24"/>
        </w:rPr>
        <w:t>Сейтяково</w:t>
      </w:r>
      <w:proofErr w:type="spellEnd"/>
    </w:p>
    <w:p w:rsidR="00BB61A7" w:rsidRDefault="00BB61A7" w:rsidP="00BB61A7">
      <w:pPr>
        <w:pStyle w:val="3"/>
        <w:spacing w:after="0"/>
        <w:ind w:left="0"/>
        <w:jc w:val="both"/>
        <w:rPr>
          <w:sz w:val="24"/>
          <w:szCs w:val="24"/>
        </w:rPr>
      </w:pPr>
      <w:r>
        <w:rPr>
          <w:sz w:val="24"/>
          <w:szCs w:val="24"/>
        </w:rPr>
        <w:t>29 июля 2022 года</w:t>
      </w:r>
    </w:p>
    <w:p w:rsidR="00BB61A7" w:rsidRDefault="00BB61A7" w:rsidP="00BB61A7">
      <w:pPr>
        <w:pStyle w:val="3"/>
        <w:spacing w:after="0"/>
        <w:ind w:left="0"/>
        <w:jc w:val="both"/>
        <w:rPr>
          <w:color w:val="FF0000"/>
          <w:sz w:val="24"/>
          <w:szCs w:val="24"/>
        </w:rPr>
      </w:pPr>
      <w:r>
        <w:rPr>
          <w:sz w:val="24"/>
          <w:szCs w:val="24"/>
        </w:rPr>
        <w:t>№ 25/55</w:t>
      </w:r>
      <w:r>
        <w:rPr>
          <w:color w:val="FF0000"/>
          <w:sz w:val="24"/>
          <w:szCs w:val="24"/>
        </w:rPr>
        <w:t xml:space="preserve">     </w:t>
      </w:r>
    </w:p>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3A0BC3" w:rsidRDefault="003A0BC3" w:rsidP="003A0BC3"/>
    <w:p w:rsidR="00B877A3" w:rsidRDefault="00B877A3"/>
    <w:sectPr w:rsidR="00B877A3" w:rsidSect="00B87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08"/>
  <w:drawingGridHorizontalSpacing w:val="140"/>
  <w:drawingGridVerticalSpacing w:val="381"/>
  <w:displayHorizontalDrawingGridEvery w:val="2"/>
  <w:characterSpacingControl w:val="doNotCompress"/>
  <w:compat/>
  <w:rsids>
    <w:rsidRoot w:val="003A0BC3"/>
    <w:rsid w:val="000A0DBC"/>
    <w:rsid w:val="00134543"/>
    <w:rsid w:val="003A0BC3"/>
    <w:rsid w:val="005C51DE"/>
    <w:rsid w:val="005D0396"/>
    <w:rsid w:val="0071413D"/>
    <w:rsid w:val="00A8609D"/>
    <w:rsid w:val="00AD5C4E"/>
    <w:rsid w:val="00B877A3"/>
    <w:rsid w:val="00BB5810"/>
    <w:rsid w:val="00BB61A7"/>
    <w:rsid w:val="00BE206A"/>
    <w:rsid w:val="00D847E0"/>
    <w:rsid w:val="00D92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0BC3"/>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0BC3"/>
    <w:rPr>
      <w:rFonts w:ascii="Times New Roman Bash" w:eastAsia="Times New Roman" w:hAnsi="Times New Roman Bash" w:cs="Times New Roman"/>
      <w:b/>
      <w:szCs w:val="24"/>
      <w:lang w:val="be-BY" w:eastAsia="ru-RU"/>
    </w:rPr>
  </w:style>
  <w:style w:type="paragraph" w:styleId="a3">
    <w:name w:val="Body Text"/>
    <w:basedOn w:val="a"/>
    <w:link w:val="a4"/>
    <w:rsid w:val="003A0BC3"/>
    <w:pPr>
      <w:jc w:val="center"/>
    </w:pPr>
    <w:rPr>
      <w:rFonts w:ascii="Times New Roman Bash" w:hAnsi="Times New Roman Bash"/>
      <w:b/>
      <w:lang w:val="be-BY"/>
    </w:rPr>
  </w:style>
  <w:style w:type="character" w:customStyle="1" w:styleId="a4">
    <w:name w:val="Основной текст Знак"/>
    <w:basedOn w:val="a0"/>
    <w:link w:val="a3"/>
    <w:rsid w:val="003A0BC3"/>
    <w:rPr>
      <w:rFonts w:ascii="Times New Roman Bash" w:eastAsia="Times New Roman" w:hAnsi="Times New Roman Bash" w:cs="Times New Roman"/>
      <w:b/>
      <w:sz w:val="24"/>
      <w:szCs w:val="24"/>
      <w:lang w:val="be-BY" w:eastAsia="ru-RU"/>
    </w:rPr>
  </w:style>
  <w:style w:type="paragraph" w:styleId="3">
    <w:name w:val="Body Text Indent 3"/>
    <w:basedOn w:val="a"/>
    <w:link w:val="30"/>
    <w:rsid w:val="003A0BC3"/>
    <w:pPr>
      <w:spacing w:after="120"/>
      <w:ind w:left="283"/>
    </w:pPr>
    <w:rPr>
      <w:sz w:val="16"/>
      <w:szCs w:val="16"/>
    </w:rPr>
  </w:style>
  <w:style w:type="character" w:customStyle="1" w:styleId="30">
    <w:name w:val="Основной текст с отступом 3 Знак"/>
    <w:basedOn w:val="a0"/>
    <w:link w:val="3"/>
    <w:rsid w:val="003A0BC3"/>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3A0BC3"/>
    <w:rPr>
      <w:rFonts w:ascii="Tahoma" w:hAnsi="Tahoma" w:cs="Tahoma"/>
      <w:sz w:val="16"/>
      <w:szCs w:val="16"/>
    </w:rPr>
  </w:style>
  <w:style w:type="character" w:customStyle="1" w:styleId="a6">
    <w:name w:val="Текст выноски Знак"/>
    <w:basedOn w:val="a0"/>
    <w:link w:val="a5"/>
    <w:uiPriority w:val="99"/>
    <w:semiHidden/>
    <w:rsid w:val="003A0BC3"/>
    <w:rPr>
      <w:rFonts w:ascii="Tahoma" w:eastAsia="Times New Roman" w:hAnsi="Tahoma" w:cs="Tahoma"/>
      <w:sz w:val="16"/>
      <w:szCs w:val="16"/>
      <w:lang w:eastAsia="ru-RU"/>
    </w:rPr>
  </w:style>
  <w:style w:type="character" w:styleId="a7">
    <w:name w:val="Hyperlink"/>
    <w:semiHidden/>
    <w:unhideWhenUsed/>
    <w:rsid w:val="00BB61A7"/>
    <w:rPr>
      <w:color w:val="0000FF"/>
      <w:u w:val="single"/>
    </w:rPr>
  </w:style>
  <w:style w:type="paragraph" w:styleId="a8">
    <w:name w:val="Normal (Web)"/>
    <w:basedOn w:val="a"/>
    <w:semiHidden/>
    <w:unhideWhenUsed/>
    <w:rsid w:val="00BB61A7"/>
    <w:pPr>
      <w:spacing w:before="100" w:beforeAutospacing="1" w:after="100" w:afterAutospacing="1"/>
    </w:pPr>
  </w:style>
  <w:style w:type="paragraph" w:styleId="a9">
    <w:name w:val="header"/>
    <w:basedOn w:val="a"/>
    <w:link w:val="aa"/>
    <w:semiHidden/>
    <w:unhideWhenUsed/>
    <w:rsid w:val="00BB61A7"/>
    <w:pPr>
      <w:tabs>
        <w:tab w:val="center" w:pos="4677"/>
        <w:tab w:val="right" w:pos="9355"/>
      </w:tabs>
    </w:pPr>
    <w:rPr>
      <w:sz w:val="28"/>
    </w:rPr>
  </w:style>
  <w:style w:type="character" w:customStyle="1" w:styleId="aa">
    <w:name w:val="Верхний колонтитул Знак"/>
    <w:basedOn w:val="a0"/>
    <w:link w:val="a9"/>
    <w:semiHidden/>
    <w:rsid w:val="00BB61A7"/>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8227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88795/3d0cac60971a511280cbba229d9b6329c07731f7/" TargetMode="External"/><Relationship Id="rId5" Type="http://schemas.openxmlformats.org/officeDocument/2006/relationships/hyperlink" Target="https://login.consultant.ru/link/?req=doc&amp;base=LAW&amp;n=384993&amp;dst=100174&amp;field=134&amp;date=25.02.202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3802</Words>
  <Characters>21675</Characters>
  <Application>Microsoft Office Word</Application>
  <DocSecurity>0</DocSecurity>
  <Lines>180</Lines>
  <Paragraphs>50</Paragraphs>
  <ScaleCrop>false</ScaleCrop>
  <Company/>
  <LinksUpToDate>false</LinksUpToDate>
  <CharactersWithSpaces>25427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2022-08-01T05:55:00Z</dcterms:created>
  <dcterms:modified xsi:type="dcterms:W3CDTF">2022-08-03T03:28:00Z</dcterms:modified>
</cp:coreProperties>
</file>